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697230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90170</wp:posOffset>
            </wp:positionV>
            <wp:extent cx="19545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05"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112395</wp:posOffset>
            </wp:positionV>
            <wp:extent cx="1954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247"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22"/>
          <w:szCs w:val="22"/>
          <w:b w:val="1"/>
          <w:bCs w:val="1"/>
          <w:color w:val="auto"/>
        </w:rPr>
        <w:t>PURSUANT TO RULE 13a-16 OR 15d-16 UNDER</w:t>
      </w:r>
    </w:p>
    <w:p>
      <w:pPr>
        <w:jc w:val="center"/>
        <w:ind w:right="-103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05"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22"/>
          <w:szCs w:val="22"/>
          <w:b w:val="1"/>
          <w:bCs w:val="1"/>
          <w:color w:val="auto"/>
        </w:rPr>
        <w:t>For the month of March 2026</w:t>
      </w:r>
    </w:p>
    <w:p>
      <w:pPr>
        <w:spacing w:after="0" w:line="206"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22"/>
          <w:szCs w:val="22"/>
          <w:b w:val="1"/>
          <w:bCs w:val="1"/>
          <w:color w:val="auto"/>
        </w:rPr>
        <w:t>Commission File Number: 001-38328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99060</wp:posOffset>
            </wp:positionV>
            <wp:extent cx="19545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07"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43"/>
          <w:szCs w:val="43"/>
          <w:b w:val="1"/>
          <w:bCs w:val="1"/>
          <w:color w:val="auto"/>
        </w:rPr>
        <w:t>LexinFintech Holdings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130175</wp:posOffset>
            </wp:positionV>
            <wp:extent cx="19545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75"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27/F CES Tower</w:t>
      </w:r>
    </w:p>
    <w:p>
      <w:pPr>
        <w:spacing w:after="0" w:line="8"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22"/>
          <w:szCs w:val="22"/>
          <w:b w:val="1"/>
          <w:bCs w:val="1"/>
          <w:color w:val="auto"/>
        </w:rPr>
        <w:t>No. 3099 Keyuan South Road</w:t>
      </w:r>
    </w:p>
    <w:p>
      <w:pPr>
        <w:ind w:left="3960"/>
        <w:spacing w:after="0" w:line="230" w:lineRule="auto"/>
        <w:rPr>
          <w:sz w:val="20"/>
          <w:szCs w:val="20"/>
          <w:color w:val="auto"/>
        </w:rPr>
      </w:pPr>
      <w:r>
        <w:rPr>
          <w:rFonts w:ascii="Times New Roman" w:cs="Times New Roman" w:eastAsia="Times New Roman" w:hAnsi="Times New Roman"/>
          <w:sz w:val="22"/>
          <w:szCs w:val="22"/>
          <w:b w:val="1"/>
          <w:bCs w:val="1"/>
          <w:color w:val="auto"/>
        </w:rPr>
        <w:t>Nanshan District, Shenzhen 518057</w:t>
      </w:r>
    </w:p>
    <w:p>
      <w:pPr>
        <w:ind w:left="4180"/>
        <w:spacing w:after="0" w:line="235" w:lineRule="auto"/>
        <w:rPr>
          <w:sz w:val="20"/>
          <w:szCs w:val="20"/>
          <w:color w:val="auto"/>
        </w:rPr>
      </w:pPr>
      <w:r>
        <w:rPr>
          <w:rFonts w:ascii="Times New Roman" w:cs="Times New Roman" w:eastAsia="Times New Roman" w:hAnsi="Times New Roman"/>
          <w:sz w:val="22"/>
          <w:szCs w:val="22"/>
          <w:b w:val="1"/>
          <w:bCs w:val="1"/>
          <w:color w:val="auto"/>
        </w:rPr>
        <w:t>The People's Republic of China</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167640</wp:posOffset>
            </wp:positionV>
            <wp:extent cx="1954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33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Indicate by check mark whether the registrant files or will file annual reports under cover of Form 20-F or Form 40-F.</w:t>
      </w:r>
    </w:p>
    <w:p>
      <w:pPr>
        <w:spacing w:after="0" w:line="218" w:lineRule="exact"/>
        <w:rPr>
          <w:sz w:val="24"/>
          <w:szCs w:val="24"/>
          <w:color w:val="auto"/>
        </w:rPr>
      </w:pPr>
    </w:p>
    <w:p>
      <w:pPr>
        <w:ind w:left="3220"/>
        <w:spacing w:after="0"/>
        <w:tabs>
          <w:tab w:leader="none" w:pos="4400" w:val="left"/>
          <w:tab w:leader="none" w:pos="5840" w:val="left"/>
          <w:tab w:leader="none" w:pos="7040" w:val="left"/>
        </w:tabs>
        <w:rPr>
          <w:sz w:val="20"/>
          <w:szCs w:val="20"/>
          <w:color w:val="auto"/>
        </w:rPr>
      </w:pPr>
      <w:r>
        <w:rPr>
          <w:rFonts w:ascii="Times New Roman" w:cs="Times New Roman" w:eastAsia="Times New Roman" w:hAnsi="Times New Roman"/>
          <w:sz w:val="22"/>
          <w:szCs w:val="22"/>
          <w:color w:val="auto"/>
        </w:rPr>
        <w:t>Form 20-F</w:t>
        <w:tab/>
        <w:t>___</w:t>
      </w:r>
      <w:r>
        <w:rPr>
          <w:rFonts w:ascii="Times New Roman" w:cs="Times New Roman" w:eastAsia="Times New Roman" w:hAnsi="Times New Roman"/>
          <w:sz w:val="22"/>
          <w:szCs w:val="22"/>
          <w:u w:val="single" w:color="auto"/>
          <w:color w:val="auto"/>
        </w:rPr>
        <w:t>X</w:t>
      </w:r>
      <w:r>
        <w:rPr>
          <w:rFonts w:ascii="Times New Roman" w:cs="Times New Roman" w:eastAsia="Times New Roman" w:hAnsi="Times New Roman"/>
          <w:sz w:val="22"/>
          <w:szCs w:val="22"/>
          <w:color w:val="auto"/>
        </w:rPr>
        <w:t>____</w:t>
      </w:r>
      <w:r>
        <w:rPr>
          <w:sz w:val="20"/>
          <w:szCs w:val="20"/>
          <w:color w:val="auto"/>
        </w:rPr>
        <w:tab/>
      </w:r>
      <w:r>
        <w:rPr>
          <w:rFonts w:ascii="Times New Roman" w:cs="Times New Roman" w:eastAsia="Times New Roman" w:hAnsi="Times New Roman"/>
          <w:sz w:val="22"/>
          <w:szCs w:val="22"/>
          <w:color w:val="auto"/>
        </w:rPr>
        <w:t>Form 40-F</w:t>
      </w:r>
      <w:r>
        <w:rPr>
          <w:sz w:val="20"/>
          <w:szCs w:val="20"/>
          <w:color w:val="auto"/>
        </w:rPr>
        <w:tab/>
      </w:r>
      <w:r>
        <w:rPr>
          <w:rFonts w:ascii="Times New Roman" w:cs="Times New Roman" w:eastAsia="Times New Roman" w:hAnsi="Times New Roman"/>
          <w:sz w:val="21"/>
          <w:szCs w:val="21"/>
          <w:color w:val="auto"/>
        </w:rPr>
        <w:t>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778510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20"/>
          </w:cols>
          <w:pgMar w:left="320" w:top="1316" w:right="1359" w:bottom="1440" w:gutter="0" w:footer="0" w:header="0"/>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2"/>
          <w:szCs w:val="22"/>
          <w:b w:val="1"/>
          <w:bCs w:val="1"/>
          <w:color w:val="auto"/>
        </w:rPr>
        <w:t>LexinFintech Holdings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200"/>
        <w:spacing w:after="0"/>
        <w:tabs>
          <w:tab w:leader="none" w:pos="68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James Xigui Zheng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10795</wp:posOffset>
            </wp:positionV>
            <wp:extent cx="27514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ind w:left="6200"/>
        <w:spacing w:after="0"/>
        <w:rPr>
          <w:sz w:val="20"/>
          <w:szCs w:val="20"/>
          <w:color w:val="auto"/>
        </w:rPr>
      </w:pPr>
      <w:r>
        <w:rPr>
          <w:rFonts w:ascii="Times New Roman" w:cs="Times New Roman" w:eastAsia="Times New Roman" w:hAnsi="Times New Roman"/>
          <w:sz w:val="22"/>
          <w:szCs w:val="22"/>
          <w:color w:val="auto"/>
        </w:rPr>
        <w:t>Name: James Xigui Zheng</w:t>
      </w:r>
    </w:p>
    <w:p>
      <w:pPr>
        <w:ind w:left="6200"/>
        <w:spacing w:after="0"/>
        <w:tabs>
          <w:tab w:leader="none" w:pos="6880" w:val="left"/>
        </w:tabs>
        <w:rPr>
          <w:sz w:val="20"/>
          <w:szCs w:val="20"/>
          <w:color w:val="auto"/>
        </w:rPr>
      </w:pPr>
      <w:r>
        <w:rPr>
          <w:rFonts w:ascii="Times New Roman" w:cs="Times New Roman" w:eastAsia="Times New Roman" w:hAnsi="Times New Roman"/>
          <w:sz w:val="22"/>
          <w:szCs w:val="22"/>
          <w:color w:val="auto"/>
        </w:rPr>
        <w:t>Title:</w:t>
        <w:tab/>
        <w:t>Chief Financial Officer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March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906780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59" w:right="439" w:bottom="1440" w:gutter="0" w:footer="0" w:header="0"/>
        </w:sectPr>
      </w:pPr>
    </w:p>
    <w:bookmarkStart w:id="2" w:name="page3"/>
    <w:bookmarkEnd w:id="2"/>
    <w:p>
      <w:pPr>
        <w:jc w:val="right"/>
        <w:ind w:right="3919"/>
        <w:spacing w:after="0"/>
        <w:rPr>
          <w:sz w:val="20"/>
          <w:szCs w:val="20"/>
          <w:color w:val="auto"/>
        </w:rPr>
      </w:pPr>
      <w:r>
        <w:rPr>
          <w:rFonts w:ascii="Times New Roman" w:cs="Times New Roman" w:eastAsia="Times New Roman" w:hAnsi="Times New Roman"/>
          <w:sz w:val="22"/>
          <w:szCs w:val="22"/>
          <w:u w:val="single" w:color="auto"/>
          <w:color w:val="auto"/>
        </w:rPr>
        <w:t>Exhibit Index</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Exhibit 99.1—Press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8"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LexinFintech Holdings Ltd. Reports Fourth Quarter and Full Year 2025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Financial Results</w:t>
      </w:r>
    </w:p>
    <w:p>
      <w:pPr>
        <w:spacing w:after="0" w:line="207"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SHENZHEN, China, March 19, 2026 (GLOBE NEWSWIRE) -- LexinFintech Holdings Ltd. (“Lexin” or the “Company”) (NASDAQ: LX), a leading technology-empowered personal financial service enabler in China, today announced its unaudited financial results for the quarter ended December 31, 2025.</w:t>
      </w:r>
    </w:p>
    <w:p>
      <w:pPr>
        <w:spacing w:after="0" w:line="176"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Mr. Jay Wenjie Xiao, Chairman and Chief Executive Officer of Lexin, commented, “The fourth quarter marked an important transition for us as we adapted to the new regulatory framework. Amid heightened industry risk volatility, our proactive compliance efforts and disciplined risk management enabled us to secure a stable transition, while balancing business scale and overall asset quality.</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Despite the complex macro environment in the fourth quarter, we concluded 2025 with robust full-year results. For the full year of 2025, net profit stood at RMB1.7 billion, representing a year-over-year increase of 52.4%. These results underscore the fundamental resilience and diversity of our unique business ecosystem.</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Going forward, we believe that the market will continue to consolidate toward leading, compliant platforms with prudent risk management. Leveraging our unique business ecosystem, we are well-positioned to capture potential opportunities as the industry enters this new stage of high-quality development.</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also remain deeply committed to enhancing shareholder returns. In accordance with our dividend policy, our board of directors has approved a dividend of US$0.188 per ADS, representing 30% of net income from the second half of 2025. In addition to cash dividends, we have cumulatively repurchased US$39 million worth of ADSs as of the date of this announcement. Furthermore, my personal US$10 million share purchase plan has been fully implemented. We will continue to explore various avenues to deliver sustainable value to our shareholders.”</w:t>
      </w:r>
    </w:p>
    <w:p>
      <w:pPr>
        <w:spacing w:after="0" w:line="1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Mr. James Zheng, Chief Financial Officer of Lexin, commented, “During the fourth quarter, as we navigated elevated risk volatility and the evolving regulatory landscape, our proactive risk management and pricing adjustments weighed on our bottom line, with net income recording RMB214 million. The resilience of our diversified business ecosystem provided an effective counterbalance to this impact. In parallel, we fortified our balance sheet with ample provisioning, while our funding costs declined substantially. These actions have fundamentally strengthened our foundation for long-term growth.</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Looking ahead to 2026, as the industry enters a new phase of normalization, we will leverage our unique business ecosystem and comprehensive product matrix to continue executing our disciplined strategy, and deliver sustainable, long-term returns to our shareholders.”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1</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Full Year 2025 Operational Highlights: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User Base</w:t>
      </w:r>
    </w:p>
    <w:p>
      <w:pPr>
        <w:spacing w:after="0" w:line="121" w:lineRule="exact"/>
        <w:rPr>
          <w:sz w:val="20"/>
          <w:szCs w:val="20"/>
          <w:color w:val="auto"/>
        </w:rPr>
      </w:pPr>
    </w:p>
    <w:p>
      <w:pPr>
        <w:ind w:left="440" w:right="500" w:hanging="432"/>
        <w:spacing w:after="0" w:line="282" w:lineRule="auto"/>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registered users across our platform reached 245 million as of December 31, 2025, representing an increase of 7.6% from 228 million as of December 31, 2024.</w:t>
      </w:r>
    </w:p>
    <w:p>
      <w:pPr>
        <w:spacing w:after="0" w:line="60" w:lineRule="exact"/>
        <w:rPr>
          <w:rFonts w:ascii="Times New Roman" w:cs="Times New Roman" w:eastAsia="Times New Roman" w:hAnsi="Times New Roman"/>
          <w:sz w:val="18"/>
          <w:szCs w:val="18"/>
          <w:color w:val="auto"/>
        </w:rPr>
      </w:pPr>
    </w:p>
    <w:p>
      <w:pPr>
        <w:ind w:left="440" w:right="40" w:hanging="432"/>
        <w:spacing w:after="0" w:line="246" w:lineRule="auto"/>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active users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in the fourth quarter of 2025 was 4.5 million, representing a decrease of 3.8% from 4.7 million in the fourth quarter of 2024. Number of active users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in 2025 was 8.2 million, representing an increase of 0.3% from 8.2 million in 2024.</w:t>
      </w:r>
    </w:p>
    <w:p>
      <w:pPr>
        <w:spacing w:after="0" w:line="21" w:lineRule="exact"/>
        <w:rPr>
          <w:rFonts w:ascii="Times New Roman" w:cs="Times New Roman" w:eastAsia="Times New Roman" w:hAnsi="Times New Roman"/>
          <w:sz w:val="18"/>
          <w:szCs w:val="18"/>
          <w:color w:val="auto"/>
        </w:rPr>
      </w:pPr>
    </w:p>
    <w:p>
      <w:pPr>
        <w:ind w:left="440" w:right="100" w:hanging="432"/>
        <w:spacing w:after="0" w:line="282" w:lineRule="auto"/>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cumulative borrowers with successful drawdown was 36.7 million as of December 31, 2025, an increase of 8.9% from 33.8 million as of December 31, 2024.</w:t>
      </w:r>
    </w:p>
    <w:p>
      <w:pPr>
        <w:spacing w:after="0" w:line="76"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Loan Facilitation Business</w:t>
      </w:r>
    </w:p>
    <w:p>
      <w:pPr>
        <w:spacing w:after="0" w:line="121" w:lineRule="exact"/>
        <w:rPr>
          <w:rFonts w:ascii="Times New Roman" w:cs="Times New Roman" w:eastAsia="Times New Roman" w:hAnsi="Times New Roman"/>
          <w:sz w:val="18"/>
          <w:szCs w:val="18"/>
          <w:color w:val="auto"/>
        </w:rPr>
      </w:pPr>
    </w:p>
    <w:p>
      <w:pPr>
        <w:ind w:left="440" w:right="80" w:hanging="432"/>
        <w:spacing w:after="0" w:line="282" w:lineRule="auto"/>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we cumulatively originated RMB1,530.5 billion in loans, an increase of 15.5% from RMB1,325.1 billion as of December 31, 2024.</w:t>
      </w:r>
    </w:p>
    <w:p>
      <w:pPr>
        <w:spacing w:after="0" w:line="60" w:lineRule="exact"/>
        <w:rPr>
          <w:rFonts w:ascii="Times New Roman" w:cs="Times New Roman" w:eastAsia="Times New Roman" w:hAnsi="Times New Roman"/>
          <w:sz w:val="18"/>
          <w:szCs w:val="18"/>
          <w:color w:val="auto"/>
        </w:rPr>
      </w:pPr>
    </w:p>
    <w:p>
      <w:pPr>
        <w:ind w:left="440" w:right="140" w:hanging="432"/>
        <w:spacing w:after="0" w:line="246" w:lineRule="auto"/>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loan originations</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in the fourth quarter of 2025 was RMB50.0 billion, a decrease of 3.8% from RMB52.0 billion in the fourth quarter of 2024. Total loan originations</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in 2025 was RMB205 billion, a decrease of 3.2% from RMB212 billion in 2024.</w:t>
      </w:r>
    </w:p>
    <w:p>
      <w:pPr>
        <w:spacing w:after="0" w:line="28" w:lineRule="exact"/>
        <w:rPr>
          <w:rFonts w:ascii="Times New Roman" w:cs="Times New Roman" w:eastAsia="Times New Roman" w:hAnsi="Times New Roman"/>
          <w:sz w:val="18"/>
          <w:szCs w:val="18"/>
          <w:color w:val="auto"/>
        </w:rPr>
      </w:pPr>
    </w:p>
    <w:p>
      <w:pPr>
        <w:ind w:left="440" w:hanging="432"/>
        <w:spacing w:after="0" w:line="233" w:lineRule="auto"/>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outstanding principal balance of loans</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 xml:space="preserve"> was RMB96.6 billion as of December 31, 2025, representing a decrease of 12.4% from RMB110 billion as of December 31, 2024.</w:t>
      </w:r>
    </w:p>
    <w:p>
      <w:pPr>
        <w:spacing w:after="0" w:line="134"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Credit Performance</w:t>
      </w:r>
      <w:r>
        <w:rPr>
          <w:rFonts w:ascii="Times New Roman" w:cs="Times New Roman" w:eastAsia="Times New Roman" w:hAnsi="Times New Roman"/>
          <w:sz w:val="24"/>
          <w:szCs w:val="24"/>
          <w:b w:val="1"/>
          <w:bCs w:val="1"/>
          <w:color w:val="auto"/>
          <w:vertAlign w:val="superscript"/>
        </w:rPr>
        <w:t>4</w:t>
      </w:r>
    </w:p>
    <w:p>
      <w:pPr>
        <w:spacing w:after="0" w:line="65" w:lineRule="exact"/>
        <w:rPr>
          <w:rFonts w:ascii="Times New Roman" w:cs="Times New Roman" w:eastAsia="Times New Roman" w:hAnsi="Times New Roman"/>
          <w:sz w:val="18"/>
          <w:szCs w:val="18"/>
          <w:color w:val="auto"/>
        </w:rPr>
      </w:pPr>
    </w:p>
    <w:p>
      <w:pPr>
        <w:ind w:left="440" w:right="2980" w:hanging="432"/>
        <w:spacing w:after="0" w:line="233" w:lineRule="auto"/>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day+ delinquency ratio</w:t>
      </w:r>
      <w:r>
        <w:rPr>
          <w:rFonts w:ascii="Times New Roman" w:cs="Times New Roman" w:eastAsia="Times New Roman" w:hAnsi="Times New Roman"/>
          <w:sz w:val="24"/>
          <w:szCs w:val="24"/>
          <w:color w:val="auto"/>
          <w:vertAlign w:val="superscript"/>
        </w:rPr>
        <w:t>5</w:t>
      </w:r>
      <w:r>
        <w:rPr>
          <w:rFonts w:ascii="Times New Roman" w:cs="Times New Roman" w:eastAsia="Times New Roman" w:hAnsi="Times New Roman"/>
          <w:sz w:val="18"/>
          <w:szCs w:val="18"/>
          <w:color w:val="auto"/>
        </w:rPr>
        <w:t xml:space="preserve"> was 3.1% as of December 31, 2025, as compared with 3.0% as of September 30, 2025.</w:t>
      </w:r>
    </w:p>
    <w:p>
      <w:pPr>
        <w:spacing w:after="0" w:line="91"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payment default rate (30 day+) for new loan originations was below 1% as of December 31, 2025.</w:t>
      </w:r>
    </w:p>
    <w:p>
      <w:pPr>
        <w:spacing w:after="0" w:line="153"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Installment E-commerce Platform Service</w:t>
      </w:r>
    </w:p>
    <w:p>
      <w:pPr>
        <w:spacing w:after="0" w:line="127" w:lineRule="exact"/>
        <w:rPr>
          <w:rFonts w:ascii="Times New Roman" w:cs="Times New Roman" w:eastAsia="Times New Roman" w:hAnsi="Times New Roman"/>
          <w:sz w:val="18"/>
          <w:szCs w:val="18"/>
          <w:color w:val="auto"/>
        </w:rPr>
      </w:pPr>
    </w:p>
    <w:p>
      <w:pPr>
        <w:jc w:val="both"/>
        <w:ind w:left="440" w:right="60" w:hanging="432"/>
        <w:spacing w:after="0" w:line="225" w:lineRule="auto"/>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GMV</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8"/>
          <w:szCs w:val="18"/>
          <w:color w:val="auto"/>
        </w:rPr>
        <w:t xml:space="preserve"> in the fourth quarter of 2025 for our installment e-commerce platform service was RMB2,154 million, representing an increase of 122% from RMB969 million in the fourth quarter of 2024. GMV</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8"/>
          <w:szCs w:val="18"/>
          <w:color w:val="auto"/>
        </w:rPr>
        <w:t xml:space="preserve"> in 2025 for our installment e-commerce platform service was RMB7,622 million, representing an increase of 110% from RMB3,633 million in 2024.</w:t>
      </w:r>
    </w:p>
    <w:p>
      <w:pPr>
        <w:spacing w:after="0" w:line="91"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2025, our installment e-commerce platform service served over 480,000 users.</w:t>
      </w:r>
    </w:p>
    <w:p>
      <w:pPr>
        <w:spacing w:after="0" w:line="140"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Operational Highlights</w:t>
      </w:r>
    </w:p>
    <w:p>
      <w:pPr>
        <w:spacing w:after="0" w:line="121" w:lineRule="exact"/>
        <w:rPr>
          <w:rFonts w:ascii="Times New Roman" w:cs="Times New Roman" w:eastAsia="Times New Roman" w:hAnsi="Times New Roman"/>
          <w:sz w:val="18"/>
          <w:szCs w:val="18"/>
          <w:color w:val="auto"/>
        </w:rPr>
      </w:pPr>
    </w:p>
    <w:p>
      <w:pPr>
        <w:jc w:val="both"/>
        <w:ind w:left="440" w:right="200" w:hanging="432"/>
        <w:spacing w:after="0" w:line="266" w:lineRule="auto"/>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tenor of loans originated in the fourth quarter of 2025 was approximately 11.9 months, as compared with 13.1 months in the fourth quarter of 2024. The weighted average tenor of loans originated on our platform in 2025 was approximately 12.9 months, as compared with 12.9 months in 2024.</w:t>
      </w:r>
    </w:p>
    <w:p>
      <w:pPr>
        <w:spacing w:after="0" w:line="74" w:lineRule="exact"/>
        <w:rPr>
          <w:rFonts w:ascii="Times New Roman" w:cs="Times New Roman" w:eastAsia="Times New Roman" w:hAnsi="Times New Roman"/>
          <w:sz w:val="18"/>
          <w:szCs w:val="18"/>
          <w:color w:val="auto"/>
        </w:rPr>
      </w:pPr>
    </w:p>
    <w:p>
      <w:pPr>
        <w:ind w:left="440" w:right="40" w:hanging="432"/>
        <w:spacing w:after="0" w:line="233" w:lineRule="auto"/>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Repeated borrowers’ contribution</w:t>
      </w:r>
      <w:r>
        <w:rPr>
          <w:rFonts w:ascii="Times New Roman" w:cs="Times New Roman" w:eastAsia="Times New Roman" w:hAnsi="Times New Roman"/>
          <w:sz w:val="24"/>
          <w:szCs w:val="24"/>
          <w:color w:val="auto"/>
          <w:vertAlign w:val="superscript"/>
        </w:rPr>
        <w:t>7</w:t>
      </w:r>
      <w:r>
        <w:rPr>
          <w:rFonts w:ascii="Times New Roman" w:cs="Times New Roman" w:eastAsia="Times New Roman" w:hAnsi="Times New Roman"/>
          <w:sz w:val="18"/>
          <w:szCs w:val="18"/>
          <w:color w:val="auto"/>
        </w:rPr>
        <w:t xml:space="preserve"> of loans across our platform for the fourth quarter of 2025 was 88.3%. Repeated borrowers’ contribution</w:t>
      </w:r>
      <w:r>
        <w:rPr>
          <w:rFonts w:ascii="Times New Roman" w:cs="Times New Roman" w:eastAsia="Times New Roman" w:hAnsi="Times New Roman"/>
          <w:sz w:val="24"/>
          <w:szCs w:val="24"/>
          <w:color w:val="auto"/>
          <w:vertAlign w:val="superscript"/>
        </w:rPr>
        <w:t>7</w:t>
      </w:r>
      <w:r>
        <w:rPr>
          <w:rFonts w:ascii="Times New Roman" w:cs="Times New Roman" w:eastAsia="Times New Roman" w:hAnsi="Times New Roman"/>
          <w:sz w:val="18"/>
          <w:szCs w:val="18"/>
          <w:color w:val="auto"/>
        </w:rPr>
        <w:t xml:space="preserve"> of loans across our platform for 2025 was 86.4%.</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2</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Financial Highlights:</w:t>
      </w:r>
    </w:p>
    <w:p>
      <w:pPr>
        <w:spacing w:after="0" w:line="121" w:lineRule="exact"/>
        <w:rPr>
          <w:sz w:val="20"/>
          <w:szCs w:val="20"/>
          <w:color w:val="auto"/>
        </w:rPr>
      </w:pPr>
    </w:p>
    <w:p>
      <w:pPr>
        <w:ind w:left="520" w:hanging="512"/>
        <w:spacing w:after="0"/>
        <w:tabs>
          <w:tab w:leader="none" w:pos="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revenue was RMB3,043 million, representing a decrease of 16.8% from the fourth quarter of 2024.</w:t>
      </w:r>
    </w:p>
    <w:p>
      <w:pPr>
        <w:spacing w:after="0" w:line="117"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facilitation service income was RMB2,485 million, representing a decrease of 8.4% from the fourth quarter of 2024. Tech-empowerment service income was RMB170 million, representing a decrease of 71.7% from the fourth quarter of 2024. Installment e-commerce platform service income was RMB388 million, representing an increase of 12.5% from the fourth quarter of 2024.</w:t>
      </w:r>
    </w:p>
    <w:p>
      <w:pPr>
        <w:spacing w:after="0" w:line="67"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ordinary shareholders of the Company was RMB214 million, representing a decrease of 41.0% from the fourth quarter of 2024. Net income per ADS attributable to ordinary shareholders of the Company was RMB1.24 on a fully diluted basis.</w:t>
      </w:r>
    </w:p>
    <w:p>
      <w:pPr>
        <w:spacing w:after="0" w:line="60" w:lineRule="exact"/>
        <w:rPr>
          <w:rFonts w:ascii="Times New Roman" w:cs="Times New Roman" w:eastAsia="Times New Roman" w:hAnsi="Times New Roman"/>
          <w:sz w:val="18"/>
          <w:szCs w:val="18"/>
          <w:color w:val="auto"/>
        </w:rPr>
      </w:pPr>
    </w:p>
    <w:p>
      <w:pPr>
        <w:ind w:left="520" w:right="80" w:hanging="512"/>
        <w:spacing w:after="0" w:line="246" w:lineRule="auto"/>
        <w:tabs>
          <w:tab w:leader="none" w:pos="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attributable to ordinary shareholders of the Company</w:t>
      </w:r>
      <w:r>
        <w:rPr>
          <w:rFonts w:ascii="Times New Roman" w:cs="Times New Roman" w:eastAsia="Times New Roman" w:hAnsi="Times New Roman"/>
          <w:sz w:val="24"/>
          <w:szCs w:val="24"/>
          <w:color w:val="auto"/>
          <w:vertAlign w:val="superscript"/>
        </w:rPr>
        <w:t>8</w:t>
      </w:r>
      <w:r>
        <w:rPr>
          <w:rFonts w:ascii="Times New Roman" w:cs="Times New Roman" w:eastAsia="Times New Roman" w:hAnsi="Times New Roman"/>
          <w:sz w:val="18"/>
          <w:szCs w:val="18"/>
          <w:color w:val="auto"/>
        </w:rPr>
        <w:t xml:space="preserve"> was RMB239 million, representing a decrease of 38.9% from the fourth quarter of 2024. Adjusted net income per ADS attributable to ordinary shareholders of the Company</w:t>
      </w:r>
      <w:r>
        <w:rPr>
          <w:rFonts w:ascii="Times New Roman" w:cs="Times New Roman" w:eastAsia="Times New Roman" w:hAnsi="Times New Roman"/>
          <w:sz w:val="24"/>
          <w:szCs w:val="24"/>
          <w:color w:val="auto"/>
          <w:vertAlign w:val="superscript"/>
        </w:rPr>
        <w:t>8</w:t>
      </w:r>
      <w:r>
        <w:rPr>
          <w:rFonts w:ascii="Times New Roman" w:cs="Times New Roman" w:eastAsia="Times New Roman" w:hAnsi="Times New Roman"/>
          <w:sz w:val="18"/>
          <w:szCs w:val="18"/>
          <w:color w:val="auto"/>
        </w:rPr>
        <w:t xml:space="preserve"> was RMB1.38 on a fully diluted basis.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2025 Financial Highlights:</w:t>
      </w:r>
    </w:p>
    <w:p>
      <w:pPr>
        <w:spacing w:after="0" w:line="121"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revenue was RMB13,152 million, representing a decrease of 7.4% from 2024.</w:t>
      </w:r>
    </w:p>
    <w:p>
      <w:pPr>
        <w:spacing w:after="0" w:line="117" w:lineRule="exact"/>
        <w:rPr>
          <w:rFonts w:ascii="Times New Roman" w:cs="Times New Roman" w:eastAsia="Times New Roman" w:hAnsi="Times New Roman"/>
          <w:sz w:val="18"/>
          <w:szCs w:val="18"/>
          <w:color w:val="auto"/>
        </w:rPr>
      </w:pPr>
    </w:p>
    <w:p>
      <w:pPr>
        <w:ind w:left="520" w:right="320" w:hanging="512"/>
        <w:spacing w:after="0" w:line="266"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facilitation service income was RMB9,562 million, representing a decrease of 13.1% from 2024. Tech-empowerment service income was RMB2,081 million, representing an increase of 10.6% from 2024. Installment e-commerce platform service income was RMB1,509 million, representing an increase of 14.1% from 2024.</w:t>
      </w:r>
    </w:p>
    <w:p>
      <w:pPr>
        <w:spacing w:after="0" w:line="67"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ordinary shareholders of the Company was RMB1,677 million, representing an increase of 52.4% from 2024. Net income per ADS attributable to ordinary shareholders of the Company was RMB9.45 on a fully diluted basis.</w:t>
      </w:r>
    </w:p>
    <w:p>
      <w:pPr>
        <w:spacing w:after="0" w:line="3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attributable to ordinary shareholders of the Company</w:t>
      </w:r>
      <w:r>
        <w:rPr>
          <w:rFonts w:ascii="Times New Roman" w:cs="Times New Roman" w:eastAsia="Times New Roman" w:hAnsi="Times New Roman"/>
          <w:sz w:val="24"/>
          <w:szCs w:val="24"/>
          <w:color w:val="auto"/>
          <w:vertAlign w:val="superscript"/>
        </w:rPr>
        <w:t>8</w:t>
      </w:r>
      <w:r>
        <w:rPr>
          <w:rFonts w:ascii="Times New Roman" w:cs="Times New Roman" w:eastAsia="Times New Roman" w:hAnsi="Times New Roman"/>
          <w:sz w:val="18"/>
          <w:szCs w:val="18"/>
          <w:color w:val="auto"/>
        </w:rPr>
        <w:t xml:space="preserve"> was RMB1,795 million, representing an increase of 49.2% from 2024.</w:t>
      </w:r>
    </w:p>
    <w:p>
      <w:pPr>
        <w:ind w:left="520"/>
        <w:spacing w:after="0" w:line="212" w:lineRule="auto"/>
        <w:rPr>
          <w:sz w:val="20"/>
          <w:szCs w:val="20"/>
          <w:color w:val="auto"/>
        </w:rPr>
      </w:pPr>
      <w:r>
        <w:rPr>
          <w:rFonts w:ascii="Times New Roman" w:cs="Times New Roman" w:eastAsia="Times New Roman" w:hAnsi="Times New Roman"/>
          <w:sz w:val="18"/>
          <w:szCs w:val="18"/>
          <w:color w:val="auto"/>
        </w:rPr>
        <w:t>Adjusted net income per ADS attributable to ordinary shareholders of the Company</w:t>
      </w:r>
      <w:r>
        <w:rPr>
          <w:rFonts w:ascii="Times New Roman" w:cs="Times New Roman" w:eastAsia="Times New Roman" w:hAnsi="Times New Roman"/>
          <w:sz w:val="24"/>
          <w:szCs w:val="24"/>
          <w:color w:val="auto"/>
          <w:vertAlign w:val="superscript"/>
        </w:rPr>
        <w:t>8</w:t>
      </w:r>
      <w:r>
        <w:rPr>
          <w:rFonts w:ascii="Times New Roman" w:cs="Times New Roman" w:eastAsia="Times New Roman" w:hAnsi="Times New Roman"/>
          <w:sz w:val="18"/>
          <w:szCs w:val="18"/>
          <w:color w:val="auto"/>
        </w:rPr>
        <w:t xml:space="preserve"> was RMB10.11 on a fully diluted basis.</w:t>
      </w: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01" w:lineRule="exact"/>
        <w:rPr>
          <w:sz w:val="20"/>
          <w:szCs w:val="20"/>
          <w:color w:val="auto"/>
        </w:rPr>
      </w:pPr>
    </w:p>
    <w:p>
      <w:pPr>
        <w:ind w:left="520" w:right="300" w:hanging="512"/>
        <w:spacing w:after="0" w:line="281" w:lineRule="auto"/>
        <w:tabs>
          <w:tab w:leader="none" w:pos="520" w:val="left"/>
        </w:tabs>
        <w:numPr>
          <w:ilvl w:val="0"/>
          <w:numId w:val="4"/>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Active users refer to, for a specified period, users who made at least one transaction during that period through our platform or through our third-party partners’ platforms using the credit line granted by us.</w:t>
      </w:r>
    </w:p>
    <w:p>
      <w:pPr>
        <w:spacing w:after="0" w:line="54" w:lineRule="exact"/>
        <w:rPr>
          <w:rFonts w:ascii="Times New Roman" w:cs="Times New Roman" w:eastAsia="Times New Roman" w:hAnsi="Times New Roman"/>
          <w:sz w:val="13"/>
          <w:szCs w:val="13"/>
          <w:i w:val="1"/>
          <w:iCs w:val="1"/>
          <w:color w:val="auto"/>
        </w:rPr>
      </w:pPr>
    </w:p>
    <w:p>
      <w:pPr>
        <w:ind w:left="520" w:hanging="512"/>
        <w:spacing w:after="0"/>
        <w:tabs>
          <w:tab w:leader="none" w:pos="520" w:val="left"/>
        </w:tabs>
        <w:numPr>
          <w:ilvl w:val="0"/>
          <w:numId w:val="4"/>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Total loan originations refer to the total principal amount of loans originated during the given period through our platform or through our third-party partners' platforms.</w:t>
      </w:r>
    </w:p>
    <w:p>
      <w:pPr>
        <w:spacing w:after="0" w:line="107" w:lineRule="exact"/>
        <w:rPr>
          <w:rFonts w:ascii="Times New Roman" w:cs="Times New Roman" w:eastAsia="Times New Roman" w:hAnsi="Times New Roman"/>
          <w:sz w:val="13"/>
          <w:szCs w:val="13"/>
          <w:i w:val="1"/>
          <w:iCs w:val="1"/>
          <w:color w:val="auto"/>
        </w:rPr>
      </w:pPr>
    </w:p>
    <w:p>
      <w:pPr>
        <w:ind w:left="520" w:right="320" w:hanging="512"/>
        <w:spacing w:after="0" w:line="281" w:lineRule="auto"/>
        <w:tabs>
          <w:tab w:leader="none" w:pos="520" w:val="left"/>
        </w:tabs>
        <w:numPr>
          <w:ilvl w:val="0"/>
          <w:numId w:val="4"/>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Total outstanding principal balance of loans refers to the total amount of principal outstanding for loans facilitated and originated at the end of each period, including loans guaranteed by our financial guarantee companies and the loans facilitated across third party platforms that we bear principal risk and excluding loans delinquent for more than 180 days that are charged-off.</w:t>
      </w:r>
    </w:p>
    <w:p>
      <w:pPr>
        <w:spacing w:after="0" w:line="54" w:lineRule="exact"/>
        <w:rPr>
          <w:rFonts w:ascii="Times New Roman" w:cs="Times New Roman" w:eastAsia="Times New Roman" w:hAnsi="Times New Roman"/>
          <w:sz w:val="13"/>
          <w:szCs w:val="13"/>
          <w:i w:val="1"/>
          <w:iCs w:val="1"/>
          <w:color w:val="auto"/>
        </w:rPr>
      </w:pPr>
    </w:p>
    <w:p>
      <w:pPr>
        <w:ind w:left="520" w:right="120" w:hanging="512"/>
        <w:spacing w:after="0" w:line="281" w:lineRule="auto"/>
        <w:tabs>
          <w:tab w:leader="none" w:pos="520" w:val="left"/>
        </w:tabs>
        <w:numPr>
          <w:ilvl w:val="0"/>
          <w:numId w:val="4"/>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Loans under Intelligent Credit Platform are excluded from the calculation of credit performance. Intelligent Credit Platform (ICP) is an intelligent platform on our “Fenqile” app, under which we match borrowers and financial institutions through big data and cloud computing technology. For loans facilitated through ICP, the Company does not bear principal risk.</w:t>
      </w:r>
    </w:p>
    <w:p>
      <w:pPr>
        <w:spacing w:after="0" w:line="54" w:lineRule="exact"/>
        <w:rPr>
          <w:rFonts w:ascii="Times New Roman" w:cs="Times New Roman" w:eastAsia="Times New Roman" w:hAnsi="Times New Roman"/>
          <w:sz w:val="13"/>
          <w:szCs w:val="13"/>
          <w:i w:val="1"/>
          <w:iCs w:val="1"/>
          <w:color w:val="auto"/>
        </w:rPr>
      </w:pPr>
    </w:p>
    <w:p>
      <w:pPr>
        <w:ind w:left="520" w:right="20" w:hanging="512"/>
        <w:spacing w:after="0" w:line="259" w:lineRule="auto"/>
        <w:tabs>
          <w:tab w:leader="none" w:pos="520" w:val="left"/>
        </w:tabs>
        <w:numPr>
          <w:ilvl w:val="0"/>
          <w:numId w:val="4"/>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“90 day+ delinquency rate” refers to the outstanding principal balance of on- and off-balance sheet loans that were 91 to 180 calendar days past due as a percentage of the total outstanding principal balance of on- and off-balance sheet loans across our platform and those loans across third party platforms that we bear principle risk as of a specific date. Loans that are charged-off and loans under “ICP”, E-commerce business and overseas are not included in the delinquency rate calculation.</w:t>
      </w:r>
    </w:p>
    <w:p>
      <w:pPr>
        <w:spacing w:after="0" w:line="69" w:lineRule="exact"/>
        <w:rPr>
          <w:rFonts w:ascii="Times New Roman" w:cs="Times New Roman" w:eastAsia="Times New Roman" w:hAnsi="Times New Roman"/>
          <w:sz w:val="13"/>
          <w:szCs w:val="13"/>
          <w:i w:val="1"/>
          <w:iCs w:val="1"/>
          <w:color w:val="auto"/>
        </w:rPr>
      </w:pPr>
    </w:p>
    <w:p>
      <w:pPr>
        <w:ind w:left="520" w:hanging="512"/>
        <w:spacing w:after="0"/>
        <w:tabs>
          <w:tab w:leader="none" w:pos="520" w:val="left"/>
        </w:tabs>
        <w:numPr>
          <w:ilvl w:val="0"/>
          <w:numId w:val="4"/>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GMV refers to the total value of transactions completed for products purchased on our e-commerce and Maiya channel, net of returns.</w:t>
      </w:r>
    </w:p>
    <w:p>
      <w:pPr>
        <w:spacing w:after="0" w:line="107" w:lineRule="exact"/>
        <w:rPr>
          <w:rFonts w:ascii="Times New Roman" w:cs="Times New Roman" w:eastAsia="Times New Roman" w:hAnsi="Times New Roman"/>
          <w:sz w:val="13"/>
          <w:szCs w:val="13"/>
          <w:i w:val="1"/>
          <w:iCs w:val="1"/>
          <w:color w:val="auto"/>
        </w:rPr>
      </w:pPr>
    </w:p>
    <w:p>
      <w:pPr>
        <w:ind w:left="520" w:hanging="512"/>
        <w:spacing w:after="0" w:line="281" w:lineRule="auto"/>
        <w:tabs>
          <w:tab w:leader="none" w:pos="520" w:val="left"/>
        </w:tabs>
        <w:numPr>
          <w:ilvl w:val="0"/>
          <w:numId w:val="4"/>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Repeated borrowers’ contribution for a given period refers to the principal amount of loans borrowed during that period by borrowers who had previously made at least one successful drawdown as a percentage of the total loan facilitation and origination volume through our platform during that period.</w:t>
      </w:r>
    </w:p>
    <w:p>
      <w:pPr>
        <w:spacing w:after="0" w:line="54" w:lineRule="exact"/>
        <w:rPr>
          <w:rFonts w:ascii="Times New Roman" w:cs="Times New Roman" w:eastAsia="Times New Roman" w:hAnsi="Times New Roman"/>
          <w:sz w:val="13"/>
          <w:szCs w:val="13"/>
          <w:i w:val="1"/>
          <w:iCs w:val="1"/>
          <w:color w:val="auto"/>
        </w:rPr>
      </w:pPr>
    </w:p>
    <w:p>
      <w:pPr>
        <w:ind w:left="520" w:right="320" w:hanging="512"/>
        <w:spacing w:after="0" w:line="259" w:lineRule="auto"/>
        <w:tabs>
          <w:tab w:leader="none" w:pos="520" w:val="left"/>
        </w:tabs>
        <w:numPr>
          <w:ilvl w:val="0"/>
          <w:numId w:val="4"/>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Adjusted net income attributable to ordinary shareholders of the Company, adjusted net income per ordinary share and per ADS attributable to ordinary shareholders of the Company are non-GAAP financial measures. For more information on non-GAAP financial measures, please see the section of “Use of Non-GAAP Financial Measures Statement” and the tables captioned “Unaudited Reconciliations of GAAP and Non-GAAP Results” set forth at the end of this press release.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3</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Financial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Operating revenue </w:t>
      </w:r>
      <w:r>
        <w:rPr>
          <w:rFonts w:ascii="Times New Roman" w:cs="Times New Roman" w:eastAsia="Times New Roman" w:hAnsi="Times New Roman"/>
          <w:sz w:val="18"/>
          <w:szCs w:val="18"/>
          <w:color w:val="auto"/>
        </w:rPr>
        <w:t>was RMB3,043 million in the fourth quarter of 2025, as compared to RMB3,659 million in the fourth quarter of 2024.</w:t>
      </w:r>
    </w:p>
    <w:p>
      <w:pPr>
        <w:spacing w:after="0" w:line="22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Credit facilitation service income </w:t>
      </w:r>
      <w:r>
        <w:rPr>
          <w:rFonts w:ascii="Times New Roman" w:cs="Times New Roman" w:eastAsia="Times New Roman" w:hAnsi="Times New Roman"/>
          <w:sz w:val="18"/>
          <w:szCs w:val="18"/>
          <w:color w:val="auto"/>
        </w:rPr>
        <w:t>was RMB2,485 million in the fourth quarter of 2025, as compared to RMB2,712 million in the fourth quarter of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decrease was due to the decrease in loan facilitation and servicing fees-credit oriented and financing income, partially offset by the increases in guarantee income.</w:t>
      </w:r>
    </w:p>
    <w:p>
      <w:pPr>
        <w:spacing w:after="0" w:line="173"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Loan facilitation and servicing fees-credit oriented </w:t>
      </w:r>
      <w:r>
        <w:rPr>
          <w:rFonts w:ascii="Times New Roman" w:cs="Times New Roman" w:eastAsia="Times New Roman" w:hAnsi="Times New Roman"/>
          <w:sz w:val="18"/>
          <w:szCs w:val="18"/>
          <w:color w:val="auto"/>
        </w:rPr>
        <w:t>was RMB1,293 million in the fourth quarter of 2025, as compared to RMB1,624 million in the fourth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2024. The decrease was primarily due to the decrease in the APR of off-balance sheet loans and the decrease in origination of off-balance sheet loans.</w:t>
      </w:r>
    </w:p>
    <w:p>
      <w:pPr>
        <w:spacing w:after="0" w:line="17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Guarantee income </w:t>
      </w:r>
      <w:r>
        <w:rPr>
          <w:rFonts w:ascii="Times New Roman" w:cs="Times New Roman" w:eastAsia="Times New Roman" w:hAnsi="Times New Roman"/>
          <w:sz w:val="18"/>
          <w:szCs w:val="18"/>
          <w:color w:val="auto"/>
        </w:rPr>
        <w:t>was RMB685 million in the fourth quarter of 2025, as compared to RMB577 million in the fourth quarter of 2024. The increase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the increase of outstanding balances in the off-balance sheet loans funded by certain institutional funding partners, which are accounted for under ASC 460, Guarantees.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Financing income </w:t>
      </w:r>
      <w:r>
        <w:rPr>
          <w:rFonts w:ascii="Times New Roman" w:cs="Times New Roman" w:eastAsia="Times New Roman" w:hAnsi="Times New Roman"/>
          <w:sz w:val="18"/>
          <w:szCs w:val="18"/>
          <w:color w:val="auto"/>
        </w:rPr>
        <w:t>was RMB506 million in the fourth quarter of 2025, as compared to RMB510 million in the fourth quarter of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Tech-empowerment service income </w:t>
      </w:r>
      <w:r>
        <w:rPr>
          <w:rFonts w:ascii="Times New Roman" w:cs="Times New Roman" w:eastAsia="Times New Roman" w:hAnsi="Times New Roman"/>
          <w:sz w:val="18"/>
          <w:szCs w:val="18"/>
          <w:color w:val="auto"/>
        </w:rPr>
        <w:t>was RMB170 million in the fourth quarter of 2025, as compared to RMB602 million in the fourth quarter of 2024.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primarily due to the decrease of loan facilitation volume through ICP.</w:t>
      </w:r>
    </w:p>
    <w:p>
      <w:pPr>
        <w:spacing w:after="0" w:line="203"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Installment e-commerce platform service income </w:t>
      </w:r>
      <w:r>
        <w:rPr>
          <w:rFonts w:ascii="Times New Roman" w:cs="Times New Roman" w:eastAsia="Times New Roman" w:hAnsi="Times New Roman"/>
          <w:sz w:val="18"/>
          <w:szCs w:val="18"/>
          <w:color w:val="auto"/>
        </w:rPr>
        <w:t>was RMB388 million in the fourth quarter of 2025, as compared to RMB345 million in the fourth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2024. The increase was primarily driven by the increase in transaction volume with third-party sellers.</w:t>
      </w:r>
    </w:p>
    <w:p>
      <w:pPr>
        <w:spacing w:after="0" w:line="15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Cost of sales </w:t>
      </w:r>
      <w:r>
        <w:rPr>
          <w:rFonts w:ascii="Times New Roman" w:cs="Times New Roman" w:eastAsia="Times New Roman" w:hAnsi="Times New Roman"/>
          <w:sz w:val="18"/>
          <w:szCs w:val="18"/>
          <w:color w:val="auto"/>
        </w:rPr>
        <w:t>consisted of cost of inventory sold and other costs. Cost of sales was RMB248 million in the fourth quarter of 2025, as compared to RMB353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fourth quarter of 2024. The decrease was primarily driven by the decrease in transaction volume of online direct sales which is recorded on a gross basis.</w:t>
      </w:r>
    </w:p>
    <w:p>
      <w:pPr>
        <w:spacing w:after="0" w:line="6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Funding cost </w:t>
      </w:r>
      <w:r>
        <w:rPr>
          <w:rFonts w:ascii="Times New Roman" w:cs="Times New Roman" w:eastAsia="Times New Roman" w:hAnsi="Times New Roman"/>
          <w:sz w:val="18"/>
          <w:szCs w:val="18"/>
          <w:color w:val="auto"/>
        </w:rPr>
        <w:t>was RMB34.2 million in the fourth quarter of 2025, as compared to RMB57.5 million in the fourth quarter of 2024. The decrease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driven by the decrease in funding rates and balance of funding debts to fund the on-balance sheet loans.</w:t>
      </w:r>
    </w:p>
    <w:p>
      <w:pPr>
        <w:spacing w:after="0" w:line="4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Processing and servicing costs </w:t>
      </w:r>
      <w:r>
        <w:rPr>
          <w:rFonts w:ascii="Times New Roman" w:cs="Times New Roman" w:eastAsia="Times New Roman" w:hAnsi="Times New Roman"/>
          <w:sz w:val="18"/>
          <w:szCs w:val="18"/>
          <w:color w:val="auto"/>
        </w:rPr>
        <w:t>was RMB633 million in the fourth quarter of 2025, as compared to RMB583 million in the fourth quarter of 2024.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was primarily due to the increase in risk management expenses.</w:t>
      </w:r>
    </w:p>
    <w:p>
      <w:pPr>
        <w:spacing w:after="0" w:line="15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Provision for financing receivables </w:t>
      </w:r>
      <w:r>
        <w:rPr>
          <w:rFonts w:ascii="Times New Roman" w:cs="Times New Roman" w:eastAsia="Times New Roman" w:hAnsi="Times New Roman"/>
          <w:sz w:val="18"/>
          <w:szCs w:val="18"/>
          <w:color w:val="auto"/>
        </w:rPr>
        <w:t>was RMB250 million in the fourth quarter of 2025, as compared to RMB297 million in the fourth quarter of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decrease was primarily driven by the increase in performance of oversea business, offset by the increase in the outstanding loan balances of on-balance sheet loans.</w:t>
      </w:r>
    </w:p>
    <w:p>
      <w:pPr>
        <w:spacing w:after="0" w:line="17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Provision for contract assets and receivables </w:t>
      </w:r>
      <w:r>
        <w:rPr>
          <w:rFonts w:ascii="Times New Roman" w:cs="Times New Roman" w:eastAsia="Times New Roman" w:hAnsi="Times New Roman"/>
          <w:sz w:val="18"/>
          <w:szCs w:val="18"/>
          <w:color w:val="auto"/>
        </w:rPr>
        <w:t>was RMB159 million in the fourth quarter of 2025, as compared to RMB154 million in the fourth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2024.</w:t>
      </w:r>
    </w:p>
    <w:p>
      <w:pPr>
        <w:spacing w:after="0" w:line="15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Provision for contingent guarantee liabilities </w:t>
      </w:r>
      <w:r>
        <w:rPr>
          <w:rFonts w:ascii="Times New Roman" w:cs="Times New Roman" w:eastAsia="Times New Roman" w:hAnsi="Times New Roman"/>
          <w:sz w:val="18"/>
          <w:szCs w:val="18"/>
          <w:color w:val="auto"/>
        </w:rPr>
        <w:t>was RMB935 million in the fourth quarter of 2025, as compared to RMB941 million in the fourth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RMB784 million in the fourth quarter of 2025, as compared to RMB1,274 million in the fourth quarter of 2024.</w:t>
      </w:r>
    </w:p>
    <w:p>
      <w:pPr>
        <w:spacing w:after="0" w:line="22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Sales and marketing expenses </w:t>
      </w:r>
      <w:r>
        <w:rPr>
          <w:rFonts w:ascii="Times New Roman" w:cs="Times New Roman" w:eastAsia="Times New Roman" w:hAnsi="Times New Roman"/>
          <w:sz w:val="18"/>
          <w:szCs w:val="18"/>
          <w:color w:val="auto"/>
        </w:rPr>
        <w:t>was RMB388 million in the fourth quarter of 2025, as compared to RMB464 million in the fourth quarter of 2024.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decrease was primarily driven by the decrease in personnel-related costs.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4</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was RMB132 million in the fourth quarter of 2025, as compared to RMB151 million in the fourth quarter of 2024.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primarily due to the decrease in personnel-related costs.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was RMB70.0 million in the fourth quarter of 2025, as compared to RMB95.3 million in the fourth quarter of 2024.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primarily driven by the decrease in personnel-related costs.</w:t>
      </w:r>
    </w:p>
    <w:p>
      <w:pPr>
        <w:spacing w:after="0" w:line="203"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Change in fair value of financial guarantee derivatives and loans at fair value </w:t>
      </w:r>
      <w:r>
        <w:rPr>
          <w:rFonts w:ascii="Times New Roman" w:cs="Times New Roman" w:eastAsia="Times New Roman" w:hAnsi="Times New Roman"/>
          <w:sz w:val="18"/>
          <w:szCs w:val="18"/>
          <w:color w:val="auto"/>
        </w:rPr>
        <w:t>was a gain of RMB79.4 million in the fourth quarter of 2025,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a loss of RMB144 million in the fourth quarter of 2024. The change was primarily driven by the fair value gains realized as a result of the release of guarantee obligation as loans are repaid, partially offset by the fair value loss from the re-measurement of the expected loss rates.</w:t>
      </w:r>
    </w:p>
    <w:p>
      <w:pPr>
        <w:spacing w:after="0" w:line="1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Income tax expense </w:t>
      </w:r>
      <w:r>
        <w:rPr>
          <w:rFonts w:ascii="Times New Roman" w:cs="Times New Roman" w:eastAsia="Times New Roman" w:hAnsi="Times New Roman"/>
          <w:sz w:val="18"/>
          <w:szCs w:val="18"/>
          <w:color w:val="auto"/>
        </w:rPr>
        <w:t>was RMB51.9 million in the fourth quarter of 2025, as compared to RMB67.6 million in the fourth quarter of 2024. The decrease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due to the decrease in income before income tax expense.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RMB214 million in the fourth quarter of 2025, as compared to RMB363 million in the fourth quarter of 2024.</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2025 Financial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Operating revenue </w:t>
      </w:r>
      <w:r>
        <w:rPr>
          <w:rFonts w:ascii="Times New Roman" w:cs="Times New Roman" w:eastAsia="Times New Roman" w:hAnsi="Times New Roman"/>
          <w:sz w:val="18"/>
          <w:szCs w:val="18"/>
          <w:color w:val="auto"/>
        </w:rPr>
        <w:t>was RMB13,152 million in 2025, as compared to RMB14,204 million in 2024.</w:t>
      </w:r>
    </w:p>
    <w:p>
      <w:pPr>
        <w:spacing w:after="0" w:line="2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Credit facilitation service income </w:t>
      </w:r>
      <w:r>
        <w:rPr>
          <w:rFonts w:ascii="Times New Roman" w:cs="Times New Roman" w:eastAsia="Times New Roman" w:hAnsi="Times New Roman"/>
          <w:sz w:val="18"/>
          <w:szCs w:val="18"/>
          <w:color w:val="auto"/>
        </w:rPr>
        <w:t>was RMB9,562 million in 2025, as compared to RMB11,000 million in 2024. The decrease was due to the decrease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facilitation and servicing fees-credit oriented and guarantee income, partially offset by the increases in financing income.</w:t>
      </w:r>
    </w:p>
    <w:p>
      <w:pPr>
        <w:spacing w:after="0" w:line="157"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Loan facilitation and servicing fees-credit oriented </w:t>
      </w:r>
      <w:r>
        <w:rPr>
          <w:rFonts w:ascii="Times New Roman" w:cs="Times New Roman" w:eastAsia="Times New Roman" w:hAnsi="Times New Roman"/>
          <w:sz w:val="18"/>
          <w:szCs w:val="18"/>
          <w:color w:val="auto"/>
        </w:rPr>
        <w:t>was RMB4,989 million in 2025, as compared to RMB6,326 million in 2024. The decrease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the decrease in the APR of off-balance sheet loans and the decrease in origination of off-balance sheet loans.</w:t>
      </w:r>
    </w:p>
    <w:p>
      <w:pPr>
        <w:spacing w:after="0" w:line="158"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Guarantee income </w:t>
      </w:r>
      <w:r>
        <w:rPr>
          <w:rFonts w:ascii="Times New Roman" w:cs="Times New Roman" w:eastAsia="Times New Roman" w:hAnsi="Times New Roman"/>
          <w:sz w:val="18"/>
          <w:szCs w:val="18"/>
          <w:color w:val="auto"/>
        </w:rPr>
        <w:t>was RMB2,424 million in 2025, as compared to RMB2,664 million in 2024. The decrease was primarily due to the decrease of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average outstanding balances in the off-balance sheet loans funded by certain institutional funding partners, which are accounted for under ASC 460, Guarantees.</w:t>
      </w:r>
    </w:p>
    <w:p>
      <w:pPr>
        <w:spacing w:after="0" w:line="173"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Financing income </w:t>
      </w:r>
      <w:r>
        <w:rPr>
          <w:rFonts w:ascii="Times New Roman" w:cs="Times New Roman" w:eastAsia="Times New Roman" w:hAnsi="Times New Roman"/>
          <w:sz w:val="18"/>
          <w:szCs w:val="18"/>
          <w:color w:val="auto"/>
        </w:rPr>
        <w:t>was RMB2,150 million in 2025, as compared to RMB2,010 million in 2024. The increase was primarily driven by the increase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balances of on-balance sheet loans.</w:t>
      </w:r>
    </w:p>
    <w:p>
      <w:pPr>
        <w:spacing w:after="0" w:line="15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Tech-empowerment service income </w:t>
      </w:r>
      <w:r>
        <w:rPr>
          <w:rFonts w:ascii="Times New Roman" w:cs="Times New Roman" w:eastAsia="Times New Roman" w:hAnsi="Times New Roman"/>
          <w:sz w:val="18"/>
          <w:szCs w:val="18"/>
          <w:color w:val="auto"/>
        </w:rPr>
        <w:t>was RMB2,081 million in 2025, as compared to RMB1,881 million in 2024. The increase was primarily driven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increase in referral services.</w:t>
      </w:r>
    </w:p>
    <w:p>
      <w:pPr>
        <w:spacing w:after="0" w:line="155"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Installment e-commerce platform service income </w:t>
      </w:r>
      <w:r>
        <w:rPr>
          <w:rFonts w:ascii="Times New Roman" w:cs="Times New Roman" w:eastAsia="Times New Roman" w:hAnsi="Times New Roman"/>
          <w:sz w:val="18"/>
          <w:szCs w:val="18"/>
          <w:color w:val="auto"/>
        </w:rPr>
        <w:t>was RMB1,509 million in 2025, as compared to RMB1,322 million in 2024. The increase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driven by the increase in transaction volume with third-party sellers.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Cost of sales </w:t>
      </w:r>
      <w:r>
        <w:rPr>
          <w:rFonts w:ascii="Times New Roman" w:cs="Times New Roman" w:eastAsia="Times New Roman" w:hAnsi="Times New Roman"/>
          <w:sz w:val="18"/>
          <w:szCs w:val="18"/>
          <w:color w:val="auto"/>
        </w:rPr>
        <w:t>consisted of cost of inventory sold and other costs. Cost of sales was RMB1,206 million in 2025, as compared to RMB1,320 million in 2024.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primarily driven by the decrease in transaction volume of online direct sales which is recorded on a gross basis.</w:t>
      </w:r>
    </w:p>
    <w:p>
      <w:pPr>
        <w:spacing w:after="0" w:line="9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Funding cost </w:t>
      </w:r>
      <w:r>
        <w:rPr>
          <w:rFonts w:ascii="Times New Roman" w:cs="Times New Roman" w:eastAsia="Times New Roman" w:hAnsi="Times New Roman"/>
          <w:sz w:val="18"/>
          <w:szCs w:val="18"/>
          <w:color w:val="auto"/>
        </w:rPr>
        <w:t>was RMB229 million in 2025, as compared to RMB326 million in 2024. The decrease was primarily driven by the decrease in funding rates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balance of funding debts to fund the on-balance sheet loans.</w:t>
      </w:r>
    </w:p>
    <w:p>
      <w:pPr>
        <w:spacing w:after="0" w:line="4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Processing and servicing costs </w:t>
      </w:r>
      <w:r>
        <w:rPr>
          <w:rFonts w:ascii="Times New Roman" w:cs="Times New Roman" w:eastAsia="Times New Roman" w:hAnsi="Times New Roman"/>
          <w:sz w:val="18"/>
          <w:szCs w:val="18"/>
          <w:color w:val="auto"/>
        </w:rPr>
        <w:t>was RMB2,443 million in 2025, as compared to RMB2,292 million in 2024. The increase was primarily driven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in risk management expenses.</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5</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spacing w:after="0" w:line="190"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Provision for financing receivables </w:t>
      </w:r>
      <w:r>
        <w:rPr>
          <w:rFonts w:ascii="Times New Roman" w:cs="Times New Roman" w:eastAsia="Times New Roman" w:hAnsi="Times New Roman"/>
          <w:sz w:val="18"/>
          <w:szCs w:val="18"/>
          <w:color w:val="auto"/>
        </w:rPr>
        <w:t>was RMB1,017 million in 2025, as compared to RMB866 million in 2024. The increase was primarily due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in the outstanding loan balances of on-balance sheet loans.</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Provision for contract assets and receivables </w:t>
      </w:r>
      <w:r>
        <w:rPr>
          <w:rFonts w:ascii="Times New Roman" w:cs="Times New Roman" w:eastAsia="Times New Roman" w:hAnsi="Times New Roman"/>
          <w:sz w:val="18"/>
          <w:szCs w:val="18"/>
          <w:color w:val="auto"/>
        </w:rPr>
        <w:t>was RMB614 million in 2025, as compared to RMB718 million in 2024. The decrease was primarily driven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decrease of the outstanding loan balances of off-balance sheet loans.</w:t>
      </w:r>
    </w:p>
    <w:p>
      <w:pPr>
        <w:spacing w:after="0" w:line="155"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Provision for contingent guarantee liabilities </w:t>
      </w:r>
      <w:r>
        <w:rPr>
          <w:rFonts w:ascii="Times New Roman" w:cs="Times New Roman" w:eastAsia="Times New Roman" w:hAnsi="Times New Roman"/>
          <w:sz w:val="18"/>
          <w:szCs w:val="18"/>
          <w:color w:val="auto"/>
        </w:rPr>
        <w:t>was RMB3,175 million in 2025, as compared to RMB3,656 million in 2024. The decrease was primarily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to the decrease of outstanding balances in the off-balance sheet loans funded by certain institutional funding partners, which are accounted for under ASC 460, Guarantees.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RMB4,469 million in 2025, as compared to RMB5,026 million in 2024.</w:t>
      </w:r>
    </w:p>
    <w:p>
      <w:pPr>
        <w:spacing w:after="0" w:line="22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Sales and marketing expenses </w:t>
      </w:r>
      <w:r>
        <w:rPr>
          <w:rFonts w:ascii="Times New Roman" w:cs="Times New Roman" w:eastAsia="Times New Roman" w:hAnsi="Times New Roman"/>
          <w:sz w:val="18"/>
          <w:szCs w:val="18"/>
          <w:color w:val="auto"/>
        </w:rPr>
        <w:t>was RMB1,919 million in 2025, as compared to RMB1,787 million in 2024. The increase was primarily driven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in online advertising costs.</w:t>
      </w:r>
    </w:p>
    <w:p>
      <w:pPr>
        <w:spacing w:after="0" w:line="15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was RMB595 million in 2025, as compared to RMB578 million in 2024. The increase was primarily due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in personnel-related costs..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was RMB362 million in 2025, as compared to RMB375 million in 2024.</w:t>
      </w:r>
    </w:p>
    <w:p>
      <w:pPr>
        <w:spacing w:after="0" w:line="225"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Change in fair value of financial guarantee derivatives and loans at fair value </w:t>
      </w:r>
      <w:r>
        <w:rPr>
          <w:rFonts w:ascii="Times New Roman" w:cs="Times New Roman" w:eastAsia="Times New Roman" w:hAnsi="Times New Roman"/>
          <w:sz w:val="18"/>
          <w:szCs w:val="18"/>
          <w:color w:val="auto"/>
        </w:rPr>
        <w:t>was a gain of RMB508 million in 2025 as compared to a loss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RMB979 million in 2024. The change was primarily driven by the fair value gains realized as a result of the release of guarantee obligation as loans are repaid, partially offset by the fair value loss from the re-measurement of the expected loss rates.</w:t>
      </w:r>
    </w:p>
    <w:p>
      <w:pPr>
        <w:spacing w:after="0" w:line="17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Income tax expense </w:t>
      </w:r>
      <w:r>
        <w:rPr>
          <w:rFonts w:ascii="Times New Roman" w:cs="Times New Roman" w:eastAsia="Times New Roman" w:hAnsi="Times New Roman"/>
          <w:sz w:val="18"/>
          <w:szCs w:val="18"/>
          <w:color w:val="auto"/>
        </w:rPr>
        <w:t>was RMB399 million in 2025, as compared to RMB253 million in 2024. The increase was primarily due to the increase in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before income tax expense.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RMB1,677 million in 2025, as compared to RMB1,100 million in 2024.</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6</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Semi-Annual Dividend</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board of directors of the Company has approved a dividend of US$0.094 per ordinary share, or US$0.188 per ADS, for the six-month period ended December 31, 2025 in accordance with the Company’s dividend policy, which is expected to be paid on June 3, 2026 to shareholders of record (including holders of ADSs) as of the close of business on April 24, 2026 New York time.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 of Share Repurchase Program</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Pursuant to the Company’s share repurchase program of up to US$50 million adopted in July 2025, the Company repurchased a total of approximately 9.6 million ADSs (equivalent to 19.2 million Class A ordinary shares) for approximately US$39 million. The remaining amount under the share repurchase program was US$11 million as of the date of this announcement. The total number of shares repurchased by the Company since the adoption of the share repurchase program amounted to approximately 5.8% of its total ordinary shares outstanding as of December 31, 2025.</w:t>
      </w:r>
    </w:p>
    <w:p>
      <w:pPr>
        <w:spacing w:after="0" w:line="7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 addition, Mr. Jay Wenjie Xiao has informed the Company that he has purchased a total of approximately 2.3 million ADSs (equivalent to 4.6 million Class A ordinary shares) for approximately US$10 million as of the date of announcement, after his indication to purchase up to US$10 million worth of the Company’s ADSs in July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Looking ahead, while our risk metrics continue to improve, we remain prudent in light of ongoing macroeconomic uncertainties and expect total loan origination for the first quarter of 2026 to remain flat.</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This forecast reflects our current preliminary views, which are subject to the impact of macroeconomic factors. The Company may adjust its performance outlook as appropriate based on evolving circumstances.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management will host an earnings conference call at 7:00 AM U.S. Eastern time on March 19, 2026 (7:00 PM Beijing/Hong Kong time on March 19, 2026).</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who wish to join the conference call should register online at: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https://register-conf.media-server.com/register/BIa035db521c9d4308ac218dd480679390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registration is completed, each participant will receive the dial-in number and a unique access PIN for the conference call.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joining the conference call should dial in at least 10 minutes before the scheduled start time.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live and archived webcast of the conference call will also be available at the Company's investor relations website at http://ir.lexin.com.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LexinFintech Holdings Ltd.</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a leading credit technology-empowered personal financial service enabler. Our mission is to use technology and risk management expertise to make financing more accessible for young generation consumers. We strive to achieve this mission by connecting consumers with financial institutions, where we facilitate through a unique model that includes online and offline channels, installment consumption platform, big data and AI driven credit risk management capabilities, as well as smart user and loan management systems. We also empower financial institutions by providing cutting-edge proprietary technology solutions to meet their needs of financial digital transformation.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http://ir.lexin.com.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follow us on Twitter, please go to: https://twitter.com/LexinFintech.</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7</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 Statement</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evaluating our business, we consider and use adjusted net income attributable to ordinary shareholders of the Company, non-GAAP EBIT, adjusted net income per ordinary share and per ADS attributable to ordinary shareholders of the Company, four non-GAAP measures, as supplemental measures to review and assess our operating performance. The presentation of the non-GAAP financial measures is not intended to be considered in isolation or as a substitute for the financial information prepared and presented in accordance with U.S. GAAP. We define adjusted net income attributable to ordinary shareholders of the Company as net income attributable to ordinary shareholders of the Company excluding share-based compensation expenses, interest expense associated with convertible notes, and investment income/(loss) and we define non-GAAP EBIT as net income excluding income tax expense, share-based compensation expenses, interest expense, net, and investment income/(loss).</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present these non-GAAP financial measures because they are used by our management to evaluate our operating performance and formulate business plans. Adjusted net income attributable to ordinary shareholders of the Company enables our management to assess our operating results without considering the impact of share-based compensation expenses, interest expense associated with convertible notes, and investment income/(loss). Non-GAAP EBIT, on the other hand, enables our management to assess our operating results without considering the impact of income tax expense, share-based compensation expenses, interest expense, net, and investment income/(loss). We also believe that the use of these non-GAAP financial measures facilitates investors’ assessment of our operating performance. These non-GAAP financial measures are not defined under U.S. GAAP and are not presented in accordance with U.S. GAAP.</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These non-GAAP financial measures have limitations as an analytical tool. One of the key limitations of using adjusted net income attributable to ordinary shareholders of the Company and non-GAAP EBIT is that they do not reflect all items of income and expense that affect our operations. Share-based compensation expenses, interest expense associated with convertible notes, income tax expense, interest expense, net, and investment income/(loss) have been and may continue to be incurred in our business and are not reflected in the presentation of adjusted net income attributable to ordinary shareholders of the Company and non-GAAP EBIT. Further, these non-GAAP financial measures may differ from the non-GAAP financial information used by other companies, including peer companies, and therefore their comparability may be limited.</w:t>
      </w:r>
    </w:p>
    <w:p>
      <w:pPr>
        <w:spacing w:after="0" w:line="1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compensate for these limitations by reconciling each of the non-GAAP financial measures to the most directly comparable U.S. GAAP financial measure, which should be considered when evaluating our performance. We encourage you to review our financial information in its entirety and not rely on a single financial measure.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Information Statement</w:t>
      </w:r>
    </w:p>
    <w:p>
      <w:pPr>
        <w:spacing w:after="0" w:line="121"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This announcement contains translations of certain RMB amounts into U.S. dollars (“US$”) at specified rates solely for the convenience of the reader. Unless otherwise stated, all translations from RMB to US$ were made at the rate of RMB6.9931 to US$1.00, the exchange rate set forth in the H.10 statistical release of the Federal Reserve Board on December 31, 2025. The Company makes no representation that the RMB or US$ amounts referred could be converted into US$ or RMB, as the case may be, at any particular rate or at all.</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8</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statements are made under the “safe harbor” provisions of the U.S. Private Securities Litigation Reform Act of 1995. Statements that are not historical facts, including statements about Lexin’s beliefs and expectations, are forward-looking statements. These forward-looking statements can be identified by terminology such as “will,” “expects,” “anticipates,” “future,” “intends,” “plans,” “believes,” “estimates,” “confident” and similar statements. Among other things, the expectation of the collection efficiency and delinquency, business outlook and quotations from management in this announcement, contain forward-looking statements. Lexin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Forward-looking statements involve inherent risks and uncertainties. A number of factors could cause actual results to differ materially from those contained in any forward-looking statement, including but not limited to the following: Lexin’s goal and strategies; Lexin’s expansion plans; Lexin’s future business development, financial condition and results of operations; Lexin’s expectation regarding demand for, and market acceptance of, its credit and investment management products; Lexin’s expectations regarding keeping and strengthening its relationship with borrowers, institutional funding partners, merchandise suppliers and other parties it collaborates with; general economic and business conditions; and assumptions underlying or related to any of the foregoing. Further information regarding these and other risks is included in Lexin’s filings with the SEC. All information provided in this press release and in the attachments is as of the date of this press release, and Lexin does not undertake any obligation to update any forward-looking statement, except as required under applicable law.</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LexinFintech Holdings Ltd.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 inquiries: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Tan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 (755) 3637-8888 ext. 6258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willtan@lexin.com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inquiries: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Ruifeng Xu</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 (755) 3637-8888 ext. 6993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media@lexin.com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LexinFintech Holdings Ltd.</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9</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tbl>
      <w:tblPr>
        <w:tblLayout w:type="fixed"/>
        <w:tblInd w:w="0" w:type="dxa"/>
        <w:tblCellMar>
          <w:top w:w="0" w:type="dxa"/>
          <w:left w:w="0" w:type="dxa"/>
          <w:bottom w:w="0" w:type="dxa"/>
          <w:right w:w="0" w:type="dxa"/>
        </w:tblCellMar>
      </w:tblPr>
      <w:tr>
        <w:trPr>
          <w:trHeight w:val="144"/>
        </w:trPr>
        <w:tc>
          <w:tcPr>
            <w:tcW w:w="686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7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3"/>
          </w:tcPr>
          <w:p>
            <w:pPr>
              <w:ind w:left="160"/>
              <w:spacing w:after="0" w:line="144" w:lineRule="exact"/>
              <w:rPr>
                <w:sz w:val="20"/>
                <w:szCs w:val="20"/>
                <w:color w:val="auto"/>
              </w:rPr>
            </w:pPr>
            <w:r>
              <w:rPr>
                <w:rFonts w:ascii="Times New Roman" w:cs="Times New Roman" w:eastAsia="Times New Roman" w:hAnsi="Times New Roman"/>
                <w:sz w:val="13"/>
                <w:szCs w:val="13"/>
                <w:b w:val="1"/>
                <w:bCs w:val="1"/>
                <w:color w:val="auto"/>
              </w:rPr>
              <w:t>As of</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860" w:type="dxa"/>
            <w:vAlign w:val="bottom"/>
            <w:vMerge w:val="continue"/>
          </w:tcPr>
          <w:p>
            <w:pPr>
              <w:spacing w:after="0"/>
              <w:rPr>
                <w:sz w:val="11"/>
                <w:szCs w:val="11"/>
                <w:color w:val="auto"/>
              </w:rPr>
            </w:pPr>
          </w:p>
        </w:tc>
        <w:tc>
          <w:tcPr>
            <w:tcW w:w="1820" w:type="dxa"/>
            <w:vAlign w:val="bottom"/>
            <w:gridSpan w:val="2"/>
          </w:tcPr>
          <w:p>
            <w:pPr>
              <w:jc w:val="right"/>
              <w:ind w:right="460"/>
              <w:spacing w:after="0" w:line="129" w:lineRule="exact"/>
              <w:rPr>
                <w:sz w:val="20"/>
                <w:szCs w:val="20"/>
                <w:color w:val="auto"/>
              </w:rPr>
            </w:pPr>
            <w:r>
              <w:rPr>
                <w:rFonts w:ascii="Times New Roman" w:cs="Times New Roman" w:eastAsia="Times New Roman" w:hAnsi="Times New Roman"/>
                <w:sz w:val="13"/>
                <w:szCs w:val="13"/>
                <w:b w:val="1"/>
                <w:bCs w:val="1"/>
                <w:color w:val="auto"/>
              </w:rPr>
              <w:t>December 31, 2024</w:t>
            </w:r>
          </w:p>
        </w:tc>
        <w:tc>
          <w:tcPr>
            <w:tcW w:w="1740" w:type="dxa"/>
            <w:vAlign w:val="bottom"/>
            <w:gridSpan w:val="3"/>
          </w:tcPr>
          <w:p>
            <w:pPr>
              <w:ind w:left="720"/>
              <w:spacing w:after="0" w:line="129" w:lineRule="exact"/>
              <w:rPr>
                <w:sz w:val="20"/>
                <w:szCs w:val="20"/>
                <w:color w:val="auto"/>
              </w:rPr>
            </w:pPr>
            <w:r>
              <w:rPr>
                <w:rFonts w:ascii="Times New Roman" w:cs="Times New Roman" w:eastAsia="Times New Roman" w:hAnsi="Times New Roman"/>
                <w:sz w:val="13"/>
                <w:szCs w:val="13"/>
                <w:b w:val="1"/>
                <w:bCs w:val="1"/>
                <w:color w:val="auto"/>
                <w:w w:val="95"/>
              </w:rPr>
              <w:t>December 31, 2025</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60" w:type="dxa"/>
            <w:vAlign w:val="bottom"/>
          </w:tcPr>
          <w:p>
            <w:pPr>
              <w:spacing w:after="0"/>
              <w:rPr>
                <w:sz w:val="11"/>
                <w:szCs w:val="11"/>
                <w:color w:val="auto"/>
              </w:rPr>
            </w:pPr>
          </w:p>
        </w:tc>
        <w:tc>
          <w:tcPr>
            <w:tcW w:w="1700" w:type="dxa"/>
            <w:vAlign w:val="bottom"/>
            <w:tcBorders>
              <w:top w:val="single" w:sz="8" w:color="auto"/>
            </w:tcBorders>
          </w:tcPr>
          <w:p>
            <w:pPr>
              <w:jc w:val="right"/>
              <w:ind w:right="637"/>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Pr>
          <w:p>
            <w:pPr>
              <w:spacing w:after="0"/>
              <w:rPr>
                <w:sz w:val="11"/>
                <w:szCs w:val="11"/>
                <w:color w:val="auto"/>
              </w:rPr>
            </w:pPr>
          </w:p>
        </w:tc>
        <w:tc>
          <w:tcPr>
            <w:tcW w:w="1740" w:type="dxa"/>
            <w:vAlign w:val="bottom"/>
            <w:tcBorders>
              <w:top w:val="single" w:sz="8" w:color="auto"/>
            </w:tcBorders>
            <w:gridSpan w:val="3"/>
          </w:tcPr>
          <w:p>
            <w:pPr>
              <w:ind w:left="440"/>
              <w:spacing w:after="0" w:line="129" w:lineRule="exact"/>
              <w:rPr>
                <w:sz w:val="20"/>
                <w:szCs w:val="20"/>
                <w:color w:val="auto"/>
              </w:rPr>
            </w:pPr>
            <w:r>
              <w:rPr>
                <w:rFonts w:ascii="Times New Roman" w:cs="Times New Roman" w:eastAsia="Times New Roman" w:hAnsi="Times New Roman"/>
                <w:sz w:val="13"/>
                <w:szCs w:val="13"/>
                <w:b w:val="1"/>
                <w:bCs w:val="1"/>
                <w:color w:val="auto"/>
              </w:rPr>
              <w:t>RMB</w:t>
            </w:r>
          </w:p>
        </w:tc>
        <w:tc>
          <w:tcPr>
            <w:tcW w:w="720" w:type="dxa"/>
            <w:vAlign w:val="bottom"/>
            <w:tcBorders>
              <w:top w:val="single" w:sz="8" w:color="auto"/>
            </w:tcBorders>
          </w:tcPr>
          <w:p>
            <w:pPr>
              <w:jc w:val="right"/>
              <w:ind w:right="417"/>
              <w:spacing w:after="0" w:line="129" w:lineRule="exact"/>
              <w:rPr>
                <w:sz w:val="20"/>
                <w:szCs w:val="20"/>
                <w:color w:val="auto"/>
              </w:rPr>
            </w:pPr>
            <w:r>
              <w:rPr>
                <w:rFonts w:ascii="Times New Roman" w:cs="Times New Roman" w:eastAsia="Times New Roman" w:hAnsi="Times New Roman"/>
                <w:sz w:val="13"/>
                <w:szCs w:val="13"/>
                <w:b w:val="1"/>
                <w:bCs w:val="1"/>
                <w:color w:val="auto"/>
                <w:w w:val="94"/>
              </w:rPr>
              <w:t>US$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6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ASSETS</w:t>
            </w:r>
          </w:p>
        </w:tc>
        <w:tc>
          <w:tcPr>
            <w:tcW w:w="1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Current Assets</w:t>
            </w: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60" w:type="dxa"/>
            <w:vAlign w:val="bottom"/>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1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2,254,213</w:t>
            </w: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2,156,133</w:t>
            </w: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308,323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Restricted cash</w:t>
            </w:r>
          </w:p>
        </w:tc>
        <w:tc>
          <w:tcPr>
            <w:tcW w:w="1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1,638,479</w:t>
            </w: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1,717,773</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245,638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60" w:type="dxa"/>
            <w:vAlign w:val="bottom"/>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color w:val="auto"/>
              </w:rPr>
              <w:t>Restricted term deposit and short-term investments</w:t>
            </w:r>
          </w:p>
        </w:tc>
        <w:tc>
          <w:tcPr>
            <w:tcW w:w="1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138,497</w:t>
            </w: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78,458</w:t>
            </w: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11,219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60" w:type="dxa"/>
            <w:vAlign w:val="bottom"/>
          </w:tcPr>
          <w:p>
            <w:pPr>
              <w:ind w:left="200"/>
              <w:spacing w:after="0" w:line="135" w:lineRule="exact"/>
              <w:rPr>
                <w:sz w:val="20"/>
                <w:szCs w:val="20"/>
                <w:color w:val="auto"/>
              </w:rPr>
            </w:pPr>
            <w:r>
              <w:rPr>
                <w:rFonts w:ascii="Times New Roman" w:cs="Times New Roman" w:eastAsia="Times New Roman" w:hAnsi="Times New Roman"/>
                <w:sz w:val="12"/>
                <w:szCs w:val="12"/>
                <w:color w:val="auto"/>
              </w:rPr>
              <w:t>Short-term financing receivables, net</w:t>
            </w:r>
            <w:r>
              <w:rPr>
                <w:rFonts w:ascii="Times New Roman" w:cs="Times New Roman" w:eastAsia="Times New Roman" w:hAnsi="Times New Roman"/>
                <w:sz w:val="15"/>
                <w:szCs w:val="15"/>
                <w:color w:val="auto"/>
                <w:vertAlign w:val="superscript"/>
              </w:rPr>
              <w:t>(1)</w:t>
            </w:r>
          </w:p>
        </w:tc>
        <w:tc>
          <w:tcPr>
            <w:tcW w:w="1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4,668,715</w:t>
            </w: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5,450,418</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779,399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60" w:type="dxa"/>
            <w:vAlign w:val="bottom"/>
            <w:shd w:val="clear" w:color="auto" w:fill="CFF0FC"/>
          </w:tcPr>
          <w:p>
            <w:pPr>
              <w:ind w:left="200"/>
              <w:spacing w:after="0" w:line="135" w:lineRule="exact"/>
              <w:rPr>
                <w:sz w:val="20"/>
                <w:szCs w:val="20"/>
                <w:color w:val="auto"/>
              </w:rPr>
            </w:pPr>
            <w:r>
              <w:rPr>
                <w:rFonts w:ascii="Times New Roman" w:cs="Times New Roman" w:eastAsia="Times New Roman" w:hAnsi="Times New Roman"/>
                <w:sz w:val="12"/>
                <w:szCs w:val="12"/>
                <w:color w:val="auto"/>
              </w:rPr>
              <w:t>Short-term contract assets and receivables, net</w:t>
            </w:r>
            <w:r>
              <w:rPr>
                <w:rFonts w:ascii="Times New Roman" w:cs="Times New Roman" w:eastAsia="Times New Roman" w:hAnsi="Times New Roman"/>
                <w:sz w:val="15"/>
                <w:szCs w:val="15"/>
                <w:color w:val="auto"/>
                <w:vertAlign w:val="superscript"/>
              </w:rPr>
              <w:t>(1)</w:t>
            </w:r>
          </w:p>
        </w:tc>
        <w:tc>
          <w:tcPr>
            <w:tcW w:w="1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5,448,057</w:t>
            </w: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3,763,096</w:t>
            </w: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538,116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Deposits to insurance companies and guarantee companies</w:t>
            </w:r>
          </w:p>
        </w:tc>
        <w:tc>
          <w:tcPr>
            <w:tcW w:w="1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2,355,343</w:t>
            </w: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2,187,609</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312,824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60" w:type="dxa"/>
            <w:vAlign w:val="bottom"/>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color w:val="auto"/>
              </w:rPr>
              <w:t>Prepayments and other current assets</w:t>
            </w:r>
          </w:p>
        </w:tc>
        <w:tc>
          <w:tcPr>
            <w:tcW w:w="1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1,321,340</w:t>
            </w: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2,858,054</w:t>
            </w: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408,696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Amounts due from related parties</w:t>
            </w:r>
          </w:p>
        </w:tc>
        <w:tc>
          <w:tcPr>
            <w:tcW w:w="1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61,722</w:t>
            </w: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84,531</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12,088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60" w:type="dxa"/>
            <w:vAlign w:val="bottom"/>
            <w:tcBorders>
              <w:bottom w:val="single" w:sz="8" w:color="CFF0FC"/>
            </w:tcBorders>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color w:val="auto"/>
              </w:rPr>
              <w:t>Inventories, net</w:t>
            </w:r>
          </w:p>
        </w:tc>
        <w:tc>
          <w:tcPr>
            <w:tcW w:w="17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22,345</w:t>
            </w:r>
          </w:p>
        </w:tc>
        <w:tc>
          <w:tcPr>
            <w:tcW w:w="120" w:type="dxa"/>
            <w:vAlign w:val="bottom"/>
            <w:tcBorders>
              <w:bottom w:val="single" w:sz="8" w:color="CFF0FC"/>
            </w:tcBorders>
            <w:shd w:val="clear" w:color="auto" w:fill="CFF0FC"/>
          </w:tcPr>
          <w:p>
            <w:pPr>
              <w:spacing w:after="0"/>
              <w:rPr>
                <w:sz w:val="11"/>
                <w:szCs w:val="11"/>
                <w:color w:val="auto"/>
              </w:rPr>
            </w:pPr>
          </w:p>
        </w:tc>
        <w:tc>
          <w:tcPr>
            <w:tcW w:w="11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24,119</w:t>
            </w:r>
          </w:p>
        </w:tc>
        <w:tc>
          <w:tcPr>
            <w:tcW w:w="120" w:type="dxa"/>
            <w:vAlign w:val="bottom"/>
            <w:tcBorders>
              <w:bottom w:val="single" w:sz="8" w:color="CFF0FC"/>
            </w:tcBorders>
            <w:shd w:val="clear" w:color="auto" w:fill="CFF0FC"/>
          </w:tcPr>
          <w:p>
            <w:pPr>
              <w:spacing w:after="0"/>
              <w:rPr>
                <w:sz w:val="11"/>
                <w:szCs w:val="11"/>
                <w:color w:val="auto"/>
              </w:rPr>
            </w:pPr>
          </w:p>
        </w:tc>
        <w:tc>
          <w:tcPr>
            <w:tcW w:w="44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3,449</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6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Total Current Assets</w:t>
            </w:r>
          </w:p>
        </w:tc>
        <w:tc>
          <w:tcPr>
            <w:tcW w:w="1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17,908,711</w:t>
            </w:r>
          </w:p>
        </w:tc>
        <w:tc>
          <w:tcPr>
            <w:tcW w:w="120" w:type="dxa"/>
            <w:vAlign w:val="bottom"/>
          </w:tcPr>
          <w:p>
            <w:pPr>
              <w:spacing w:after="0"/>
              <w:rPr>
                <w:sz w:val="11"/>
                <w:szCs w:val="11"/>
                <w:color w:val="auto"/>
              </w:rPr>
            </w:pPr>
          </w:p>
        </w:tc>
        <w:tc>
          <w:tcPr>
            <w:tcW w:w="1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18,320,191</w:t>
            </w:r>
          </w:p>
        </w:tc>
        <w:tc>
          <w:tcPr>
            <w:tcW w:w="1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2,619,752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60" w:type="dxa"/>
            <w:vAlign w:val="bottom"/>
            <w:shd w:val="clear" w:color="auto" w:fill="CFF0FC"/>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Non-current Assets</w:t>
            </w:r>
          </w:p>
        </w:tc>
        <w:tc>
          <w:tcPr>
            <w:tcW w:w="1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Restricted cash</w:t>
            </w:r>
          </w:p>
        </w:tc>
        <w:tc>
          <w:tcPr>
            <w:tcW w:w="1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100,860</w:t>
            </w: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91,937</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13,147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60" w:type="dxa"/>
            <w:vAlign w:val="bottom"/>
            <w:shd w:val="clear" w:color="auto" w:fill="CFF0FC"/>
          </w:tcPr>
          <w:p>
            <w:pPr>
              <w:ind w:left="200"/>
              <w:spacing w:after="0" w:line="135" w:lineRule="exact"/>
              <w:rPr>
                <w:sz w:val="20"/>
                <w:szCs w:val="20"/>
                <w:color w:val="auto"/>
              </w:rPr>
            </w:pPr>
            <w:r>
              <w:rPr>
                <w:rFonts w:ascii="Times New Roman" w:cs="Times New Roman" w:eastAsia="Times New Roman" w:hAnsi="Times New Roman"/>
                <w:sz w:val="12"/>
                <w:szCs w:val="12"/>
                <w:color w:val="auto"/>
              </w:rPr>
              <w:t>Long-term financing receivables, net</w:t>
            </w:r>
            <w:r>
              <w:rPr>
                <w:rFonts w:ascii="Times New Roman" w:cs="Times New Roman" w:eastAsia="Times New Roman" w:hAnsi="Times New Roman"/>
                <w:sz w:val="15"/>
                <w:szCs w:val="15"/>
                <w:color w:val="auto"/>
                <w:vertAlign w:val="superscript"/>
              </w:rPr>
              <w:t>(1)</w:t>
            </w:r>
          </w:p>
        </w:tc>
        <w:tc>
          <w:tcPr>
            <w:tcW w:w="1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112,427</w:t>
            </w: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167,378</w:t>
            </w: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23,935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60" w:type="dxa"/>
            <w:vAlign w:val="bottom"/>
          </w:tcPr>
          <w:p>
            <w:pPr>
              <w:ind w:left="200"/>
              <w:spacing w:after="0" w:line="135" w:lineRule="exact"/>
              <w:rPr>
                <w:sz w:val="20"/>
                <w:szCs w:val="20"/>
                <w:color w:val="auto"/>
              </w:rPr>
            </w:pPr>
            <w:r>
              <w:rPr>
                <w:rFonts w:ascii="Times New Roman" w:cs="Times New Roman" w:eastAsia="Times New Roman" w:hAnsi="Times New Roman"/>
                <w:sz w:val="12"/>
                <w:szCs w:val="12"/>
                <w:color w:val="auto"/>
              </w:rPr>
              <w:t>Long-term contract assets and receivables, net</w:t>
            </w:r>
            <w:r>
              <w:rPr>
                <w:rFonts w:ascii="Times New Roman" w:cs="Times New Roman" w:eastAsia="Times New Roman" w:hAnsi="Times New Roman"/>
                <w:sz w:val="15"/>
                <w:szCs w:val="15"/>
                <w:color w:val="auto"/>
                <w:vertAlign w:val="superscript"/>
              </w:rPr>
              <w:t>(1)</w:t>
            </w:r>
          </w:p>
        </w:tc>
        <w:tc>
          <w:tcPr>
            <w:tcW w:w="1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317,402</w:t>
            </w: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317,496</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45,401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60" w:type="dxa"/>
            <w:vAlign w:val="bottom"/>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color w:val="auto"/>
              </w:rPr>
              <w:t>Property, equipment and software, net</w:t>
            </w:r>
          </w:p>
        </w:tc>
        <w:tc>
          <w:tcPr>
            <w:tcW w:w="1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613,110</w:t>
            </w: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895,046</w:t>
            </w: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127,990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Land use rights, net</w:t>
            </w:r>
          </w:p>
        </w:tc>
        <w:tc>
          <w:tcPr>
            <w:tcW w:w="1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862,867</w:t>
            </w: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828,467</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118,469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860" w:type="dxa"/>
            <w:vAlign w:val="bottom"/>
            <w:shd w:val="clear" w:color="auto" w:fill="CFF0FC"/>
          </w:tcPr>
          <w:p>
            <w:pPr>
              <w:ind w:left="200"/>
              <w:spacing w:after="0" w:line="150" w:lineRule="exact"/>
              <w:rPr>
                <w:sz w:val="20"/>
                <w:szCs w:val="20"/>
                <w:color w:val="auto"/>
              </w:rPr>
            </w:pPr>
            <w:r>
              <w:rPr>
                <w:rFonts w:ascii="Times New Roman" w:cs="Times New Roman" w:eastAsia="Times New Roman" w:hAnsi="Times New Roman"/>
                <w:sz w:val="13"/>
                <w:szCs w:val="13"/>
                <w:color w:val="auto"/>
              </w:rPr>
              <w:t>Long</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term investments</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284,197</w:t>
            </w:r>
          </w:p>
        </w:tc>
        <w:tc>
          <w:tcPr>
            <w:tcW w:w="1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243,971</w:t>
            </w: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34,887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Deferred tax assets</w:t>
            </w:r>
          </w:p>
        </w:tc>
        <w:tc>
          <w:tcPr>
            <w:tcW w:w="1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1,540,842</w:t>
            </w: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1,763,235</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252,139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60" w:type="dxa"/>
            <w:vAlign w:val="bottom"/>
            <w:tcBorders>
              <w:bottom w:val="single" w:sz="8" w:color="CFF0FC"/>
            </w:tcBorders>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color w:val="auto"/>
              </w:rPr>
              <w:t>Other assets</w:t>
            </w:r>
          </w:p>
        </w:tc>
        <w:tc>
          <w:tcPr>
            <w:tcW w:w="17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500,363</w:t>
            </w:r>
          </w:p>
        </w:tc>
        <w:tc>
          <w:tcPr>
            <w:tcW w:w="120" w:type="dxa"/>
            <w:vAlign w:val="bottom"/>
            <w:tcBorders>
              <w:bottom w:val="single" w:sz="8" w:color="CFF0FC"/>
            </w:tcBorders>
            <w:shd w:val="clear" w:color="auto" w:fill="CFF0FC"/>
          </w:tcPr>
          <w:p>
            <w:pPr>
              <w:spacing w:after="0"/>
              <w:rPr>
                <w:sz w:val="11"/>
                <w:szCs w:val="11"/>
                <w:color w:val="auto"/>
              </w:rPr>
            </w:pPr>
          </w:p>
        </w:tc>
        <w:tc>
          <w:tcPr>
            <w:tcW w:w="11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535,242</w:t>
            </w:r>
          </w:p>
        </w:tc>
        <w:tc>
          <w:tcPr>
            <w:tcW w:w="120" w:type="dxa"/>
            <w:vAlign w:val="bottom"/>
            <w:tcBorders>
              <w:bottom w:val="single" w:sz="8" w:color="CFF0FC"/>
            </w:tcBorders>
            <w:shd w:val="clear" w:color="auto" w:fill="CFF0FC"/>
          </w:tcPr>
          <w:p>
            <w:pPr>
              <w:spacing w:after="0"/>
              <w:rPr>
                <w:sz w:val="11"/>
                <w:szCs w:val="11"/>
                <w:color w:val="auto"/>
              </w:rPr>
            </w:pPr>
          </w:p>
        </w:tc>
        <w:tc>
          <w:tcPr>
            <w:tcW w:w="44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76,539</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6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Total Non-current Assets</w:t>
            </w:r>
          </w:p>
        </w:tc>
        <w:tc>
          <w:tcPr>
            <w:tcW w:w="1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4,332,068</w:t>
            </w:r>
          </w:p>
        </w:tc>
        <w:tc>
          <w:tcPr>
            <w:tcW w:w="120" w:type="dxa"/>
            <w:vAlign w:val="bottom"/>
          </w:tcPr>
          <w:p>
            <w:pPr>
              <w:spacing w:after="0"/>
              <w:rPr>
                <w:sz w:val="11"/>
                <w:szCs w:val="11"/>
                <w:color w:val="auto"/>
              </w:rPr>
            </w:pPr>
          </w:p>
        </w:tc>
        <w:tc>
          <w:tcPr>
            <w:tcW w:w="1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4,842,772</w:t>
            </w:r>
          </w:p>
        </w:tc>
        <w:tc>
          <w:tcPr>
            <w:tcW w:w="1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692,507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6860" w:type="dxa"/>
            <w:vAlign w:val="bottom"/>
            <w:tcBorders>
              <w:bottom w:val="single" w:sz="8" w:color="CFF0FC"/>
            </w:tcBorders>
            <w:shd w:val="clear" w:color="auto" w:fill="CFF0FC"/>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17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22,240,779</w:t>
            </w:r>
          </w:p>
        </w:tc>
        <w:tc>
          <w:tcPr>
            <w:tcW w:w="120" w:type="dxa"/>
            <w:vAlign w:val="bottom"/>
            <w:tcBorders>
              <w:bottom w:val="single" w:sz="8" w:color="CFF0FC"/>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23,162,963</w:t>
            </w:r>
          </w:p>
        </w:tc>
        <w:tc>
          <w:tcPr>
            <w:tcW w:w="120" w:type="dxa"/>
            <w:vAlign w:val="bottom"/>
            <w:tcBorders>
              <w:bottom w:val="single" w:sz="8" w:color="CFF0FC"/>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3,312,259</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68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686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Current liabilities</w:t>
            </w:r>
          </w:p>
        </w:tc>
        <w:tc>
          <w:tcPr>
            <w:tcW w:w="1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1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74,443</w:t>
            </w: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101,178</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14,468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60" w:type="dxa"/>
            <w:vAlign w:val="bottom"/>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color w:val="auto"/>
              </w:rPr>
              <w:t>Amounts due to related parties</w:t>
            </w:r>
          </w:p>
        </w:tc>
        <w:tc>
          <w:tcPr>
            <w:tcW w:w="1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10,927</w:t>
            </w: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8,708</w:t>
            </w: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1,245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Short-term borrowings and current portion of long-term borrowings</w:t>
            </w:r>
          </w:p>
        </w:tc>
        <w:tc>
          <w:tcPr>
            <w:tcW w:w="1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690,772</w:t>
            </w: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905,791</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129,526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860" w:type="dxa"/>
            <w:vAlign w:val="bottom"/>
            <w:shd w:val="clear" w:color="auto" w:fill="CFF0FC"/>
          </w:tcPr>
          <w:p>
            <w:pPr>
              <w:ind w:left="200"/>
              <w:spacing w:after="0" w:line="150" w:lineRule="exact"/>
              <w:rPr>
                <w:sz w:val="20"/>
                <w:szCs w:val="20"/>
                <w:color w:val="auto"/>
              </w:rPr>
            </w:pPr>
            <w:r>
              <w:rPr>
                <w:rFonts w:ascii="Times New Roman" w:cs="Times New Roman" w:eastAsia="Times New Roman" w:hAnsi="Times New Roman"/>
                <w:sz w:val="13"/>
                <w:szCs w:val="13"/>
                <w:color w:val="auto"/>
              </w:rPr>
              <w:t>Short</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term funding debts</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2,754,454</w:t>
            </w:r>
          </w:p>
        </w:tc>
        <w:tc>
          <w:tcPr>
            <w:tcW w:w="1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2,440,685</w:t>
            </w: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349,013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Deferred guarantee income</w:t>
            </w:r>
          </w:p>
        </w:tc>
        <w:tc>
          <w:tcPr>
            <w:tcW w:w="1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975,102</w:t>
            </w: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1,305,911</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186,743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60" w:type="dxa"/>
            <w:vAlign w:val="bottom"/>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color w:val="auto"/>
              </w:rPr>
              <w:t>Contingent guarantee liabilities</w:t>
            </w:r>
          </w:p>
        </w:tc>
        <w:tc>
          <w:tcPr>
            <w:tcW w:w="1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1,079,000</w:t>
            </w: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544,191</w:t>
            </w: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77,818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Accruals and other current liabilities</w:t>
            </w:r>
          </w:p>
        </w:tc>
        <w:tc>
          <w:tcPr>
            <w:tcW w:w="1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4,019,676</w:t>
            </w:r>
          </w:p>
        </w:tc>
        <w:tc>
          <w:tcPr>
            <w:tcW w:w="120" w:type="dxa"/>
            <w:vAlign w:val="bottom"/>
          </w:tcPr>
          <w:p>
            <w:pPr>
              <w:spacing w:after="0"/>
              <w:rPr>
                <w:sz w:val="11"/>
                <w:szCs w:val="11"/>
                <w:color w:val="auto"/>
              </w:rPr>
            </w:pPr>
          </w:p>
        </w:tc>
        <w:tc>
          <w:tcPr>
            <w:tcW w:w="11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4,371,484</w:t>
            </w:r>
          </w:p>
        </w:tc>
        <w:tc>
          <w:tcPr>
            <w:tcW w:w="1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625,110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60" w:type="dxa"/>
            <w:vAlign w:val="bottom"/>
            <w:tcBorders>
              <w:bottom w:val="single" w:sz="8" w:color="CFF0FC"/>
            </w:tcBorders>
            <w:shd w:val="clear" w:color="auto" w:fill="CFF0FC"/>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17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9,604,374</w:t>
            </w:r>
          </w:p>
        </w:tc>
        <w:tc>
          <w:tcPr>
            <w:tcW w:w="120" w:type="dxa"/>
            <w:vAlign w:val="bottom"/>
            <w:tcBorders>
              <w:bottom w:val="single" w:sz="8" w:color="CFF0FC"/>
            </w:tcBorders>
            <w:shd w:val="clear" w:color="auto" w:fill="CFF0FC"/>
          </w:tcPr>
          <w:p>
            <w:pPr>
              <w:spacing w:after="0"/>
              <w:rPr>
                <w:sz w:val="11"/>
                <w:szCs w:val="11"/>
                <w:color w:val="auto"/>
              </w:rPr>
            </w:pPr>
          </w:p>
        </w:tc>
        <w:tc>
          <w:tcPr>
            <w:tcW w:w="1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9,677,948</w:t>
            </w:r>
          </w:p>
        </w:tc>
        <w:tc>
          <w:tcPr>
            <w:tcW w:w="120" w:type="dxa"/>
            <w:vAlign w:val="bottom"/>
            <w:tcBorders>
              <w:bottom w:val="single" w:sz="8" w:color="CFF0FC"/>
            </w:tcBorders>
            <w:shd w:val="clear" w:color="auto" w:fill="CFF0FC"/>
          </w:tcPr>
          <w:p>
            <w:pPr>
              <w:spacing w:after="0"/>
              <w:rPr>
                <w:sz w:val="11"/>
                <w:szCs w:val="11"/>
                <w:color w:val="auto"/>
              </w:rPr>
            </w:pPr>
          </w:p>
        </w:tc>
        <w:tc>
          <w:tcPr>
            <w:tcW w:w="44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1,383,923</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6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Non-current Liabilities</w:t>
            </w: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60" w:type="dxa"/>
            <w:vAlign w:val="bottom"/>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color w:val="auto"/>
              </w:rPr>
              <w:t>Long-term borrowings</w:t>
            </w:r>
          </w:p>
        </w:tc>
        <w:tc>
          <w:tcPr>
            <w:tcW w:w="1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585,024</w:t>
            </w: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566,015</w:t>
            </w: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80,939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860" w:type="dxa"/>
            <w:vAlign w:val="bottom"/>
          </w:tcPr>
          <w:p>
            <w:pPr>
              <w:ind w:left="200"/>
              <w:spacing w:after="0" w:line="150" w:lineRule="exact"/>
              <w:rPr>
                <w:sz w:val="20"/>
                <w:szCs w:val="20"/>
                <w:color w:val="auto"/>
              </w:rPr>
            </w:pPr>
            <w:r>
              <w:rPr>
                <w:rFonts w:ascii="Times New Roman" w:cs="Times New Roman" w:eastAsia="Times New Roman" w:hAnsi="Times New Roman"/>
                <w:sz w:val="13"/>
                <w:szCs w:val="13"/>
                <w:color w:val="auto"/>
              </w:rPr>
              <w:t>Long</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term funding debts</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1,197,211</w:t>
            </w:r>
          </w:p>
        </w:tc>
        <w:tc>
          <w:tcPr>
            <w:tcW w:w="1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850,590</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121,633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60" w:type="dxa"/>
            <w:vAlign w:val="bottom"/>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color w:val="auto"/>
              </w:rPr>
              <w:t>Deferred tax liabilities</w:t>
            </w:r>
          </w:p>
        </w:tc>
        <w:tc>
          <w:tcPr>
            <w:tcW w:w="1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91,380</w:t>
            </w: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105,212</w:t>
            </w: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15,045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Other long-term liabilities</w:t>
            </w:r>
          </w:p>
        </w:tc>
        <w:tc>
          <w:tcPr>
            <w:tcW w:w="1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22,784</w:t>
            </w:r>
          </w:p>
        </w:tc>
        <w:tc>
          <w:tcPr>
            <w:tcW w:w="120" w:type="dxa"/>
            <w:vAlign w:val="bottom"/>
          </w:tcPr>
          <w:p>
            <w:pPr>
              <w:spacing w:after="0"/>
              <w:rPr>
                <w:sz w:val="11"/>
                <w:szCs w:val="11"/>
                <w:color w:val="auto"/>
              </w:rPr>
            </w:pPr>
          </w:p>
        </w:tc>
        <w:tc>
          <w:tcPr>
            <w:tcW w:w="11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10,567</w:t>
            </w:r>
          </w:p>
        </w:tc>
        <w:tc>
          <w:tcPr>
            <w:tcW w:w="1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1,511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60" w:type="dxa"/>
            <w:vAlign w:val="bottom"/>
            <w:tcBorders>
              <w:bottom w:val="single" w:sz="8" w:color="CFF0FC"/>
            </w:tcBorders>
            <w:shd w:val="clear" w:color="auto" w:fill="CFF0FC"/>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Total Non-current Liabilities</w:t>
            </w:r>
          </w:p>
        </w:tc>
        <w:tc>
          <w:tcPr>
            <w:tcW w:w="17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1,896,399</w:t>
            </w:r>
          </w:p>
        </w:tc>
        <w:tc>
          <w:tcPr>
            <w:tcW w:w="120" w:type="dxa"/>
            <w:vAlign w:val="bottom"/>
            <w:tcBorders>
              <w:bottom w:val="single" w:sz="8" w:color="CFF0FC"/>
            </w:tcBorders>
            <w:shd w:val="clear" w:color="auto" w:fill="CFF0FC"/>
          </w:tcPr>
          <w:p>
            <w:pPr>
              <w:spacing w:after="0"/>
              <w:rPr>
                <w:sz w:val="11"/>
                <w:szCs w:val="11"/>
                <w:color w:val="auto"/>
              </w:rPr>
            </w:pPr>
          </w:p>
        </w:tc>
        <w:tc>
          <w:tcPr>
            <w:tcW w:w="1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1,532,384</w:t>
            </w:r>
          </w:p>
        </w:tc>
        <w:tc>
          <w:tcPr>
            <w:tcW w:w="120" w:type="dxa"/>
            <w:vAlign w:val="bottom"/>
            <w:tcBorders>
              <w:bottom w:val="single" w:sz="8" w:color="CFF0FC"/>
            </w:tcBorders>
            <w:shd w:val="clear" w:color="auto" w:fill="CFF0FC"/>
          </w:tcPr>
          <w:p>
            <w:pPr>
              <w:spacing w:after="0"/>
              <w:rPr>
                <w:sz w:val="11"/>
                <w:szCs w:val="11"/>
                <w:color w:val="auto"/>
              </w:rPr>
            </w:pPr>
          </w:p>
        </w:tc>
        <w:tc>
          <w:tcPr>
            <w:tcW w:w="44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219,128</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6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1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11,500,773</w:t>
            </w:r>
          </w:p>
        </w:tc>
        <w:tc>
          <w:tcPr>
            <w:tcW w:w="120" w:type="dxa"/>
            <w:vAlign w:val="bottom"/>
          </w:tcPr>
          <w:p>
            <w:pPr>
              <w:spacing w:after="0"/>
              <w:rPr>
                <w:sz w:val="11"/>
                <w:szCs w:val="11"/>
                <w:color w:val="auto"/>
              </w:rPr>
            </w:pPr>
          </w:p>
        </w:tc>
        <w:tc>
          <w:tcPr>
            <w:tcW w:w="1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11,210,332</w:t>
            </w:r>
          </w:p>
        </w:tc>
        <w:tc>
          <w:tcPr>
            <w:tcW w:w="1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1,603,051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60" w:type="dxa"/>
            <w:vAlign w:val="bottom"/>
            <w:shd w:val="clear" w:color="auto" w:fill="CFF0FC"/>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Shareholders’ equity:</w:t>
            </w:r>
          </w:p>
        </w:tc>
        <w:tc>
          <w:tcPr>
            <w:tcW w:w="1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Class A Ordinary Shares</w:t>
            </w:r>
          </w:p>
        </w:tc>
        <w:tc>
          <w:tcPr>
            <w:tcW w:w="1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205</w:t>
            </w: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209</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60" w:type="dxa"/>
            <w:vAlign w:val="bottom"/>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color w:val="auto"/>
              </w:rPr>
              <w:t>Class B Ordinary Shares</w:t>
            </w:r>
          </w:p>
        </w:tc>
        <w:tc>
          <w:tcPr>
            <w:tcW w:w="1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41</w:t>
            </w: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41</w:t>
            </w: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Treasury stock</w:t>
            </w:r>
          </w:p>
        </w:tc>
        <w:tc>
          <w:tcPr>
            <w:tcW w:w="18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(328,764)</w:t>
            </w:r>
          </w:p>
        </w:tc>
        <w:tc>
          <w:tcPr>
            <w:tcW w:w="13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(493,846)</w:t>
            </w:r>
          </w:p>
        </w:tc>
        <w:tc>
          <w:tcPr>
            <w:tcW w:w="440" w:type="dxa"/>
            <w:vAlign w:val="bottom"/>
          </w:tcPr>
          <w:p>
            <w:pPr>
              <w:spacing w:after="0"/>
              <w:rPr>
                <w:sz w:val="11"/>
                <w:szCs w:val="11"/>
                <w:color w:val="auto"/>
              </w:rPr>
            </w:pPr>
          </w:p>
        </w:tc>
        <w:tc>
          <w:tcPr>
            <w:tcW w:w="8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(70,619)</w:t>
            </w:r>
          </w:p>
        </w:tc>
        <w:tc>
          <w:tcPr>
            <w:tcW w:w="0" w:type="dxa"/>
            <w:vAlign w:val="bottom"/>
          </w:tcPr>
          <w:p>
            <w:pPr>
              <w:spacing w:after="0"/>
              <w:rPr>
                <w:sz w:val="1"/>
                <w:szCs w:val="1"/>
                <w:color w:val="auto"/>
              </w:rPr>
            </w:pPr>
          </w:p>
        </w:tc>
      </w:tr>
      <w:tr>
        <w:trPr>
          <w:trHeight w:val="135"/>
        </w:trPr>
        <w:tc>
          <w:tcPr>
            <w:tcW w:w="6860" w:type="dxa"/>
            <w:vAlign w:val="bottom"/>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color w:val="auto"/>
              </w:rPr>
              <w:t>Additional paid-in capital</w:t>
            </w:r>
          </w:p>
        </w:tc>
        <w:tc>
          <w:tcPr>
            <w:tcW w:w="1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3,314,866</w:t>
            </w:r>
          </w:p>
        </w:tc>
        <w:tc>
          <w:tcPr>
            <w:tcW w:w="12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3,396,667</w:t>
            </w: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485,717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Statutory reserves</w:t>
            </w:r>
          </w:p>
        </w:tc>
        <w:tc>
          <w:tcPr>
            <w:tcW w:w="1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1,178,309</w:t>
            </w:r>
          </w:p>
        </w:tc>
        <w:tc>
          <w:tcPr>
            <w:tcW w:w="12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1,260,923</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180,310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60" w:type="dxa"/>
            <w:vAlign w:val="bottom"/>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color w:val="auto"/>
              </w:rPr>
              <w:t>Accumulated other comprehensive income</w:t>
            </w:r>
          </w:p>
        </w:tc>
        <w:tc>
          <w:tcPr>
            <w:tcW w:w="182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(29,559)</w:t>
            </w:r>
          </w:p>
        </w:tc>
        <w:tc>
          <w:tcPr>
            <w:tcW w:w="13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(27,597)</w:t>
            </w:r>
          </w:p>
        </w:tc>
        <w:tc>
          <w:tcPr>
            <w:tcW w:w="4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(3,946)</w:t>
            </w:r>
          </w:p>
        </w:tc>
        <w:tc>
          <w:tcPr>
            <w:tcW w:w="0" w:type="dxa"/>
            <w:vAlign w:val="bottom"/>
          </w:tcPr>
          <w:p>
            <w:pPr>
              <w:spacing w:after="0"/>
              <w:rPr>
                <w:sz w:val="1"/>
                <w:szCs w:val="1"/>
                <w:color w:val="auto"/>
              </w:rPr>
            </w:pPr>
          </w:p>
        </w:tc>
      </w:tr>
      <w:tr>
        <w:trPr>
          <w:trHeight w:val="135"/>
        </w:trPr>
        <w:tc>
          <w:tcPr>
            <w:tcW w:w="68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Retained earnings</w:t>
            </w:r>
          </w:p>
        </w:tc>
        <w:tc>
          <w:tcPr>
            <w:tcW w:w="1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6,604,908</w:t>
            </w:r>
          </w:p>
        </w:tc>
        <w:tc>
          <w:tcPr>
            <w:tcW w:w="120" w:type="dxa"/>
            <w:vAlign w:val="bottom"/>
          </w:tcPr>
          <w:p>
            <w:pPr>
              <w:spacing w:after="0"/>
              <w:rPr>
                <w:sz w:val="11"/>
                <w:szCs w:val="11"/>
                <w:color w:val="auto"/>
              </w:rPr>
            </w:pPr>
          </w:p>
        </w:tc>
        <w:tc>
          <w:tcPr>
            <w:tcW w:w="11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7,816,234</w:t>
            </w:r>
          </w:p>
        </w:tc>
        <w:tc>
          <w:tcPr>
            <w:tcW w:w="1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1,117,707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60" w:type="dxa"/>
            <w:vAlign w:val="bottom"/>
            <w:tcBorders>
              <w:bottom w:val="single" w:sz="8" w:color="CFF0FC"/>
            </w:tcBorders>
            <w:shd w:val="clear" w:color="auto" w:fill="CFF0FC"/>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Total shareholders’ equity</w:t>
            </w:r>
          </w:p>
        </w:tc>
        <w:tc>
          <w:tcPr>
            <w:tcW w:w="17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10,740,006</w:t>
            </w:r>
          </w:p>
        </w:tc>
        <w:tc>
          <w:tcPr>
            <w:tcW w:w="120" w:type="dxa"/>
            <w:vAlign w:val="bottom"/>
            <w:tcBorders>
              <w:bottom w:val="single" w:sz="8" w:color="CFF0FC"/>
            </w:tcBorders>
            <w:shd w:val="clear" w:color="auto" w:fill="CFF0FC"/>
          </w:tcPr>
          <w:p>
            <w:pPr>
              <w:spacing w:after="0"/>
              <w:rPr>
                <w:sz w:val="11"/>
                <w:szCs w:val="11"/>
                <w:color w:val="auto"/>
              </w:rPr>
            </w:pPr>
          </w:p>
        </w:tc>
        <w:tc>
          <w:tcPr>
            <w:tcW w:w="1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11,952,631</w:t>
            </w:r>
          </w:p>
        </w:tc>
        <w:tc>
          <w:tcPr>
            <w:tcW w:w="120" w:type="dxa"/>
            <w:vAlign w:val="bottom"/>
            <w:tcBorders>
              <w:bottom w:val="single" w:sz="8" w:color="CFF0FC"/>
            </w:tcBorders>
            <w:shd w:val="clear" w:color="auto" w:fill="CFF0FC"/>
          </w:tcPr>
          <w:p>
            <w:pPr>
              <w:spacing w:after="0"/>
              <w:rPr>
                <w:sz w:val="11"/>
                <w:szCs w:val="11"/>
                <w:color w:val="auto"/>
              </w:rPr>
            </w:pPr>
          </w:p>
        </w:tc>
        <w:tc>
          <w:tcPr>
            <w:tcW w:w="44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1,709,208</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6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TOTAL LIABILITIES AND SHAREHOLDERS’ EQUITY</w:t>
            </w:r>
          </w:p>
        </w:tc>
        <w:tc>
          <w:tcPr>
            <w:tcW w:w="1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22,240,779</w:t>
            </w:r>
          </w:p>
        </w:tc>
        <w:tc>
          <w:tcPr>
            <w:tcW w:w="120" w:type="dxa"/>
            <w:vAlign w:val="bottom"/>
          </w:tcPr>
          <w:p>
            <w:pPr>
              <w:spacing w:after="0"/>
              <w:rPr>
                <w:sz w:val="11"/>
                <w:szCs w:val="11"/>
                <w:color w:val="auto"/>
              </w:rPr>
            </w:pPr>
          </w:p>
        </w:tc>
        <w:tc>
          <w:tcPr>
            <w:tcW w:w="1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23,162,963</w:t>
            </w:r>
          </w:p>
        </w:tc>
        <w:tc>
          <w:tcPr>
            <w:tcW w:w="1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3,312,259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-3599815</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-3599815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-3599815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-2716530</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-2716530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-2716530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-2527935</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-2510790</wp:posOffset>
            </wp:positionV>
            <wp:extent cx="77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-2527935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-2510790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-2527935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-2510790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-1542415</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-1542415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-1542415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-1002030</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-1002030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-119380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-119380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5"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Short-term financing receivables, net of allowance for credit losses of RMB102,124 and RMB198,694 as of December 31, 2024 and December 31, 2025, respectively.</w:t>
      </w:r>
    </w:p>
    <w:p>
      <w:pPr>
        <w:spacing w:after="0" w:line="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3"/>
          <w:szCs w:val="13"/>
          <w:color w:val="auto"/>
        </w:rPr>
        <w:t>Short-term contract assets and receivables, net of allowance for credit losses of RMB409,590 and RMB259,054 as of December 31, 2024 and December 31, 2025, respectively.</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3"/>
          <w:szCs w:val="13"/>
          <w:color w:val="auto"/>
        </w:rPr>
        <w:t>Long-term financing receivables, net of allowance for credit losses of RMB1,820 and RMB3,723 as of December 31, 2024 and December 31, 2025, respectively.</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3"/>
          <w:szCs w:val="13"/>
          <w:color w:val="auto"/>
        </w:rPr>
        <w:t>Long-term contract assets and receivables, net of allowance for credit losses of RMB30,919 and RMB14,569 as of December 31, 2024 and December 31, 2025, respectively.</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10</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tbl>
      <w:tblPr>
        <w:tblLayout w:type="fixed"/>
        <w:tblInd w:w="0" w:type="dxa"/>
        <w:tblCellMar>
          <w:top w:w="0" w:type="dxa"/>
          <w:left w:w="0" w:type="dxa"/>
          <w:bottom w:w="0" w:type="dxa"/>
          <w:right w:w="0" w:type="dxa"/>
        </w:tblCellMar>
      </w:tblPr>
      <w:tr>
        <w:trPr>
          <w:trHeight w:val="115"/>
        </w:trPr>
        <w:tc>
          <w:tcPr>
            <w:tcW w:w="4240" w:type="dxa"/>
            <w:vAlign w:val="bottom"/>
          </w:tcPr>
          <w:p>
            <w:pPr>
              <w:spacing w:after="0"/>
              <w:rPr>
                <w:sz w:val="9"/>
                <w:szCs w:val="9"/>
                <w:color w:val="auto"/>
              </w:rPr>
            </w:pPr>
          </w:p>
        </w:tc>
        <w:tc>
          <w:tcPr>
            <w:tcW w:w="2560" w:type="dxa"/>
            <w:vAlign w:val="bottom"/>
            <w:gridSpan w:val="5"/>
          </w:tcPr>
          <w:p>
            <w:pPr>
              <w:ind w:left="540"/>
              <w:spacing w:after="0" w:line="115" w:lineRule="exact"/>
              <w:rPr>
                <w:sz w:val="20"/>
                <w:szCs w:val="20"/>
                <w:color w:val="auto"/>
              </w:rPr>
            </w:pPr>
            <w:r>
              <w:rPr>
                <w:rFonts w:ascii="Times New Roman" w:cs="Times New Roman" w:eastAsia="Times New Roman" w:hAnsi="Times New Roman"/>
                <w:sz w:val="11"/>
                <w:szCs w:val="11"/>
                <w:b w:val="1"/>
                <w:bCs w:val="1"/>
                <w:color w:val="auto"/>
                <w:w w:val="97"/>
              </w:rPr>
              <w:t>For the Three Months Ended December 31,</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740" w:type="dxa"/>
            <w:vAlign w:val="bottom"/>
            <w:gridSpan w:val="5"/>
          </w:tcPr>
          <w:p>
            <w:pPr>
              <w:jc w:val="right"/>
              <w:ind w:right="160"/>
              <w:spacing w:after="0" w:line="115" w:lineRule="exact"/>
              <w:rPr>
                <w:sz w:val="20"/>
                <w:szCs w:val="20"/>
                <w:color w:val="auto"/>
              </w:rPr>
            </w:pPr>
            <w:r>
              <w:rPr>
                <w:rFonts w:ascii="Times New Roman" w:cs="Times New Roman" w:eastAsia="Times New Roman" w:hAnsi="Times New Roman"/>
                <w:sz w:val="11"/>
                <w:szCs w:val="11"/>
                <w:b w:val="1"/>
                <w:bCs w:val="1"/>
                <w:color w:val="auto"/>
              </w:rPr>
              <w:t>For the Year Ended December 31,</w:t>
            </w: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7"/>
        </w:trPr>
        <w:tc>
          <w:tcPr>
            <w:tcW w:w="424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(In thousands, except for share and per share data)</w:t>
            </w:r>
          </w:p>
        </w:tc>
        <w:tc>
          <w:tcPr>
            <w:tcW w:w="108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1"/>
                <w:szCs w:val="1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1"/>
                <w:szCs w:val="11"/>
                <w:color w:val="auto"/>
              </w:rPr>
            </w:pPr>
          </w:p>
        </w:tc>
        <w:tc>
          <w:tcPr>
            <w:tcW w:w="15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2025</w:t>
            </w:r>
          </w:p>
        </w:tc>
        <w:tc>
          <w:tcPr>
            <w:tcW w:w="8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15"/>
        </w:trPr>
        <w:tc>
          <w:tcPr>
            <w:tcW w:w="4240" w:type="dxa"/>
            <w:vAlign w:val="bottom"/>
          </w:tcPr>
          <w:p>
            <w:pPr>
              <w:spacing w:after="0"/>
              <w:rPr>
                <w:sz w:val="10"/>
                <w:szCs w:val="10"/>
                <w:color w:val="auto"/>
              </w:rPr>
            </w:pPr>
          </w:p>
        </w:tc>
        <w:tc>
          <w:tcPr>
            <w:tcW w:w="1080" w:type="dxa"/>
            <w:vAlign w:val="bottom"/>
          </w:tcPr>
          <w:p>
            <w:pPr>
              <w:jc w:val="right"/>
              <w:ind w:right="366"/>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100" w:type="dxa"/>
            <w:vAlign w:val="bottom"/>
          </w:tcPr>
          <w:p>
            <w:pPr>
              <w:spacing w:after="0"/>
              <w:rPr>
                <w:sz w:val="10"/>
                <w:szCs w:val="10"/>
                <w:color w:val="auto"/>
              </w:rPr>
            </w:pPr>
          </w:p>
        </w:tc>
        <w:tc>
          <w:tcPr>
            <w:tcW w:w="1380" w:type="dxa"/>
            <w:vAlign w:val="bottom"/>
            <w:gridSpan w:val="3"/>
          </w:tcPr>
          <w:p>
            <w:pPr>
              <w:ind w:left="400"/>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560" w:type="dxa"/>
            <w:vAlign w:val="bottom"/>
          </w:tcPr>
          <w:p>
            <w:pPr>
              <w:jc w:val="right"/>
              <w:ind w:right="226"/>
              <w:spacing w:after="0" w:line="115" w:lineRule="exact"/>
              <w:rPr>
                <w:sz w:val="20"/>
                <w:szCs w:val="20"/>
                <w:color w:val="auto"/>
              </w:rPr>
            </w:pPr>
            <w:r>
              <w:rPr>
                <w:rFonts w:ascii="Times New Roman" w:cs="Times New Roman" w:eastAsia="Times New Roman" w:hAnsi="Times New Roman"/>
                <w:sz w:val="11"/>
                <w:szCs w:val="11"/>
                <w:b w:val="1"/>
                <w:bCs w:val="1"/>
                <w:color w:val="auto"/>
              </w:rPr>
              <w:t>US$</w:t>
            </w:r>
          </w:p>
        </w:tc>
        <w:tc>
          <w:tcPr>
            <w:tcW w:w="200" w:type="dxa"/>
            <w:vAlign w:val="bottom"/>
          </w:tcPr>
          <w:p>
            <w:pPr>
              <w:spacing w:after="0"/>
              <w:rPr>
                <w:sz w:val="10"/>
                <w:szCs w:val="10"/>
                <w:color w:val="auto"/>
              </w:rPr>
            </w:pPr>
          </w:p>
        </w:tc>
        <w:tc>
          <w:tcPr>
            <w:tcW w:w="1100" w:type="dxa"/>
            <w:vAlign w:val="bottom"/>
          </w:tcPr>
          <w:p>
            <w:pPr>
              <w:jc w:val="right"/>
              <w:ind w:right="366"/>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100" w:type="dxa"/>
            <w:vAlign w:val="bottom"/>
          </w:tcPr>
          <w:p>
            <w:pPr>
              <w:spacing w:after="0"/>
              <w:rPr>
                <w:sz w:val="10"/>
                <w:szCs w:val="10"/>
                <w:color w:val="auto"/>
              </w:rPr>
            </w:pPr>
          </w:p>
        </w:tc>
        <w:tc>
          <w:tcPr>
            <w:tcW w:w="1540" w:type="dxa"/>
            <w:vAlign w:val="bottom"/>
            <w:gridSpan w:val="3"/>
          </w:tcPr>
          <w:p>
            <w:pPr>
              <w:jc w:val="right"/>
              <w:ind w:right="860"/>
              <w:spacing w:after="0" w:line="115" w:lineRule="exact"/>
              <w:rPr>
                <w:sz w:val="20"/>
                <w:szCs w:val="20"/>
                <w:color w:val="auto"/>
              </w:rPr>
            </w:pPr>
            <w:r>
              <w:rPr>
                <w:rFonts w:ascii="Times New Roman" w:cs="Times New Roman" w:eastAsia="Times New Roman" w:hAnsi="Times New Roman"/>
                <w:sz w:val="11"/>
                <w:szCs w:val="11"/>
                <w:b w:val="1"/>
                <w:bCs w:val="1"/>
                <w:color w:val="auto"/>
              </w:rPr>
              <w:t>RMB</w:t>
            </w:r>
          </w:p>
        </w:tc>
        <w:tc>
          <w:tcPr>
            <w:tcW w:w="840" w:type="dxa"/>
            <w:vAlign w:val="bottom"/>
          </w:tcPr>
          <w:p>
            <w:pPr>
              <w:jc w:val="right"/>
              <w:ind w:right="446"/>
              <w:spacing w:after="0" w:line="115" w:lineRule="exact"/>
              <w:rPr>
                <w:sz w:val="20"/>
                <w:szCs w:val="20"/>
                <w:color w:val="auto"/>
              </w:rPr>
            </w:pPr>
            <w:r>
              <w:rPr>
                <w:rFonts w:ascii="Times New Roman" w:cs="Times New Roman" w:eastAsia="Times New Roman" w:hAnsi="Times New Roman"/>
                <w:sz w:val="11"/>
                <w:szCs w:val="11"/>
                <w:b w:val="1"/>
                <w:bCs w:val="1"/>
                <w:color w:val="auto"/>
              </w:rPr>
              <w:t>US$</w:t>
            </w:r>
          </w:p>
        </w:tc>
        <w:tc>
          <w:tcPr>
            <w:tcW w:w="100" w:type="dxa"/>
            <w:vAlign w:val="bottom"/>
          </w:tcPr>
          <w:p>
            <w:pPr>
              <w:spacing w:after="0"/>
              <w:rPr>
                <w:sz w:val="10"/>
                <w:szCs w:val="10"/>
                <w:color w:val="auto"/>
              </w:rPr>
            </w:pPr>
          </w:p>
        </w:tc>
      </w:tr>
      <w:tr>
        <w:trPr>
          <w:trHeight w:val="122"/>
        </w:trPr>
        <w:tc>
          <w:tcPr>
            <w:tcW w:w="42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Operating revenue:</w:t>
            </w: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2"/>
        </w:trPr>
        <w:tc>
          <w:tcPr>
            <w:tcW w:w="424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Credit facilitation service income</w:t>
            </w:r>
          </w:p>
        </w:tc>
        <w:tc>
          <w:tcPr>
            <w:tcW w:w="10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2,712,066</w:t>
            </w:r>
          </w:p>
        </w:tc>
        <w:tc>
          <w:tcPr>
            <w:tcW w:w="100" w:type="dxa"/>
            <w:vAlign w:val="bottom"/>
          </w:tcPr>
          <w:p>
            <w:pPr>
              <w:spacing w:after="0"/>
              <w:rPr>
                <w:sz w:val="10"/>
                <w:szCs w:val="10"/>
                <w:color w:val="auto"/>
              </w:rPr>
            </w:pPr>
          </w:p>
        </w:tc>
        <w:tc>
          <w:tcPr>
            <w:tcW w:w="10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2,484,555</w:t>
            </w:r>
          </w:p>
        </w:tc>
        <w:tc>
          <w:tcPr>
            <w:tcW w:w="1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355,286</w:t>
            </w:r>
          </w:p>
        </w:tc>
        <w:tc>
          <w:tcPr>
            <w:tcW w:w="200" w:type="dxa"/>
            <w:vAlign w:val="bottom"/>
          </w:tcPr>
          <w:p>
            <w:pPr>
              <w:spacing w:after="0"/>
              <w:rPr>
                <w:sz w:val="10"/>
                <w:szCs w:val="10"/>
                <w:color w:val="auto"/>
              </w:rPr>
            </w:pPr>
          </w:p>
        </w:tc>
        <w:tc>
          <w:tcPr>
            <w:tcW w:w="11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10,999,931</w:t>
            </w:r>
          </w:p>
        </w:tc>
        <w:tc>
          <w:tcPr>
            <w:tcW w:w="100" w:type="dxa"/>
            <w:vAlign w:val="bottom"/>
          </w:tcPr>
          <w:p>
            <w:pPr>
              <w:spacing w:after="0"/>
              <w:rPr>
                <w:sz w:val="10"/>
                <w:szCs w:val="10"/>
                <w:color w:val="auto"/>
              </w:rPr>
            </w:pPr>
          </w:p>
        </w:tc>
        <w:tc>
          <w:tcPr>
            <w:tcW w:w="11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9,562,072</w:t>
            </w:r>
          </w:p>
        </w:tc>
        <w:tc>
          <w:tcPr>
            <w:tcW w:w="1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1,367,358</w:t>
            </w:r>
          </w:p>
        </w:tc>
        <w:tc>
          <w:tcPr>
            <w:tcW w:w="100" w:type="dxa"/>
            <w:vAlign w:val="bottom"/>
          </w:tcPr>
          <w:p>
            <w:pPr>
              <w:spacing w:after="0"/>
              <w:rPr>
                <w:sz w:val="10"/>
                <w:szCs w:val="10"/>
                <w:color w:val="auto"/>
              </w:rPr>
            </w:pPr>
          </w:p>
        </w:tc>
      </w:tr>
      <w:tr>
        <w:trPr>
          <w:trHeight w:val="115"/>
        </w:trPr>
        <w:tc>
          <w:tcPr>
            <w:tcW w:w="4240" w:type="dxa"/>
            <w:vAlign w:val="bottom"/>
            <w:shd w:val="clear" w:color="auto" w:fill="CFF0FC"/>
          </w:tcPr>
          <w:p>
            <w:pPr>
              <w:ind w:left="80"/>
              <w:spacing w:after="0" w:line="115" w:lineRule="exact"/>
              <w:rPr>
                <w:sz w:val="20"/>
                <w:szCs w:val="20"/>
                <w:color w:val="auto"/>
              </w:rPr>
            </w:pPr>
            <w:r>
              <w:rPr>
                <w:rFonts w:ascii="Times New Roman" w:cs="Times New Roman" w:eastAsia="Times New Roman" w:hAnsi="Times New Roman"/>
                <w:sz w:val="11"/>
                <w:szCs w:val="11"/>
                <w:color w:val="auto"/>
              </w:rPr>
              <w:t>Loan facilitation and servicing fees-credit oriented</w:t>
            </w:r>
          </w:p>
        </w:tc>
        <w:tc>
          <w:tcPr>
            <w:tcW w:w="10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1,624,410</w:t>
            </w: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1,293,440</w:t>
            </w: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184,959</w:t>
            </w:r>
          </w:p>
        </w:tc>
        <w:tc>
          <w:tcPr>
            <w:tcW w:w="200" w:type="dxa"/>
            <w:vAlign w:val="bottom"/>
            <w:shd w:val="clear" w:color="auto" w:fill="CFF0FC"/>
          </w:tcPr>
          <w:p>
            <w:pPr>
              <w:spacing w:after="0"/>
              <w:rPr>
                <w:sz w:val="10"/>
                <w:szCs w:val="10"/>
                <w:color w:val="auto"/>
              </w:rPr>
            </w:pPr>
          </w:p>
        </w:tc>
        <w:tc>
          <w:tcPr>
            <w:tcW w:w="1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6,325,924</w:t>
            </w:r>
          </w:p>
        </w:tc>
        <w:tc>
          <w:tcPr>
            <w:tcW w:w="100" w:type="dxa"/>
            <w:vAlign w:val="bottom"/>
            <w:shd w:val="clear" w:color="auto" w:fill="CFF0FC"/>
          </w:tcPr>
          <w:p>
            <w:pPr>
              <w:spacing w:after="0"/>
              <w:rPr>
                <w:sz w:val="10"/>
                <w:szCs w:val="10"/>
                <w:color w:val="auto"/>
              </w:rPr>
            </w:pPr>
          </w:p>
        </w:tc>
        <w:tc>
          <w:tcPr>
            <w:tcW w:w="1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4,988,562</w:t>
            </w: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713,355</w:t>
            </w:r>
          </w:p>
        </w:tc>
        <w:tc>
          <w:tcPr>
            <w:tcW w:w="100" w:type="dxa"/>
            <w:vAlign w:val="bottom"/>
            <w:shd w:val="clear" w:color="auto" w:fill="CFF0FC"/>
          </w:tcPr>
          <w:p>
            <w:pPr>
              <w:spacing w:after="0"/>
              <w:rPr>
                <w:sz w:val="10"/>
                <w:szCs w:val="10"/>
                <w:color w:val="auto"/>
              </w:rPr>
            </w:pPr>
          </w:p>
        </w:tc>
      </w:tr>
      <w:tr>
        <w:trPr>
          <w:trHeight w:val="122"/>
        </w:trPr>
        <w:tc>
          <w:tcPr>
            <w:tcW w:w="42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Guarantee income</w:t>
            </w:r>
          </w:p>
        </w:tc>
        <w:tc>
          <w:tcPr>
            <w:tcW w:w="10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577,168</w:t>
            </w:r>
          </w:p>
        </w:tc>
        <w:tc>
          <w:tcPr>
            <w:tcW w:w="10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684,863</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97,934</w:t>
            </w:r>
          </w:p>
        </w:tc>
        <w:tc>
          <w:tcPr>
            <w:tcW w:w="200" w:type="dxa"/>
            <w:vAlign w:val="bottom"/>
          </w:tcPr>
          <w:p>
            <w:pPr>
              <w:spacing w:after="0"/>
              <w:rPr>
                <w:sz w:val="10"/>
                <w:szCs w:val="10"/>
                <w:color w:val="auto"/>
              </w:rPr>
            </w:pPr>
          </w:p>
        </w:tc>
        <w:tc>
          <w:tcPr>
            <w:tcW w:w="11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2,663,824</w:t>
            </w:r>
          </w:p>
        </w:tc>
        <w:tc>
          <w:tcPr>
            <w:tcW w:w="100" w:type="dxa"/>
            <w:vAlign w:val="bottom"/>
          </w:tcPr>
          <w:p>
            <w:pPr>
              <w:spacing w:after="0"/>
              <w:rPr>
                <w:sz w:val="10"/>
                <w:szCs w:val="10"/>
                <w:color w:val="auto"/>
              </w:rPr>
            </w:pPr>
          </w:p>
        </w:tc>
        <w:tc>
          <w:tcPr>
            <w:tcW w:w="11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2,423,570</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346,566</w:t>
            </w:r>
          </w:p>
        </w:tc>
        <w:tc>
          <w:tcPr>
            <w:tcW w:w="100" w:type="dxa"/>
            <w:vAlign w:val="bottom"/>
          </w:tcPr>
          <w:p>
            <w:pPr>
              <w:spacing w:after="0"/>
              <w:rPr>
                <w:sz w:val="10"/>
                <w:szCs w:val="10"/>
                <w:color w:val="auto"/>
              </w:rPr>
            </w:pPr>
          </w:p>
        </w:tc>
      </w:tr>
      <w:tr>
        <w:trPr>
          <w:trHeight w:val="122"/>
        </w:trPr>
        <w:tc>
          <w:tcPr>
            <w:tcW w:w="42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Financing income</w:t>
            </w:r>
          </w:p>
        </w:tc>
        <w:tc>
          <w:tcPr>
            <w:tcW w:w="10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510,488</w:t>
            </w: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506,252</w:t>
            </w: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72,393</w:t>
            </w:r>
          </w:p>
        </w:tc>
        <w:tc>
          <w:tcPr>
            <w:tcW w:w="200" w:type="dxa"/>
            <w:vAlign w:val="bottom"/>
            <w:shd w:val="clear" w:color="auto" w:fill="CFF0FC"/>
          </w:tcPr>
          <w:p>
            <w:pPr>
              <w:spacing w:after="0"/>
              <w:rPr>
                <w:sz w:val="10"/>
                <w:szCs w:val="10"/>
                <w:color w:val="auto"/>
              </w:rPr>
            </w:pPr>
          </w:p>
        </w:tc>
        <w:tc>
          <w:tcPr>
            <w:tcW w:w="11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2,010,183</w:t>
            </w:r>
          </w:p>
        </w:tc>
        <w:tc>
          <w:tcPr>
            <w:tcW w:w="100" w:type="dxa"/>
            <w:vAlign w:val="bottom"/>
            <w:shd w:val="clear" w:color="auto" w:fill="CFF0FC"/>
          </w:tcPr>
          <w:p>
            <w:pPr>
              <w:spacing w:after="0"/>
              <w:rPr>
                <w:sz w:val="10"/>
                <w:szCs w:val="10"/>
                <w:color w:val="auto"/>
              </w:rPr>
            </w:pPr>
          </w:p>
        </w:tc>
        <w:tc>
          <w:tcPr>
            <w:tcW w:w="11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2,149,940</w:t>
            </w: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307,437</w:t>
            </w:r>
          </w:p>
        </w:tc>
        <w:tc>
          <w:tcPr>
            <w:tcW w:w="100" w:type="dxa"/>
            <w:vAlign w:val="bottom"/>
            <w:shd w:val="clear" w:color="auto" w:fill="CFF0FC"/>
          </w:tcPr>
          <w:p>
            <w:pPr>
              <w:spacing w:after="0"/>
              <w:rPr>
                <w:sz w:val="10"/>
                <w:szCs w:val="10"/>
                <w:color w:val="auto"/>
              </w:rPr>
            </w:pPr>
          </w:p>
        </w:tc>
      </w:tr>
      <w:tr>
        <w:trPr>
          <w:trHeight w:val="121"/>
        </w:trPr>
        <w:tc>
          <w:tcPr>
            <w:tcW w:w="424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Tech-empowerment service income</w:t>
            </w:r>
          </w:p>
        </w:tc>
        <w:tc>
          <w:tcPr>
            <w:tcW w:w="10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601,693</w:t>
            </w:r>
          </w:p>
        </w:tc>
        <w:tc>
          <w:tcPr>
            <w:tcW w:w="10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170,317</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24,355</w:t>
            </w:r>
          </w:p>
        </w:tc>
        <w:tc>
          <w:tcPr>
            <w:tcW w:w="200" w:type="dxa"/>
            <w:vAlign w:val="bottom"/>
          </w:tcPr>
          <w:p>
            <w:pPr>
              <w:spacing w:after="0"/>
              <w:rPr>
                <w:sz w:val="10"/>
                <w:szCs w:val="10"/>
                <w:color w:val="auto"/>
              </w:rPr>
            </w:pPr>
          </w:p>
        </w:tc>
        <w:tc>
          <w:tcPr>
            <w:tcW w:w="11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1,881,376</w:t>
            </w:r>
          </w:p>
        </w:tc>
        <w:tc>
          <w:tcPr>
            <w:tcW w:w="100" w:type="dxa"/>
            <w:vAlign w:val="bottom"/>
          </w:tcPr>
          <w:p>
            <w:pPr>
              <w:spacing w:after="0"/>
              <w:rPr>
                <w:sz w:val="10"/>
                <w:szCs w:val="10"/>
                <w:color w:val="auto"/>
              </w:rPr>
            </w:pPr>
          </w:p>
        </w:tc>
        <w:tc>
          <w:tcPr>
            <w:tcW w:w="11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2,081,335</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297,627</w:t>
            </w:r>
          </w:p>
        </w:tc>
        <w:tc>
          <w:tcPr>
            <w:tcW w:w="100" w:type="dxa"/>
            <w:vAlign w:val="bottom"/>
          </w:tcPr>
          <w:p>
            <w:pPr>
              <w:spacing w:after="0"/>
              <w:rPr>
                <w:sz w:val="10"/>
                <w:szCs w:val="10"/>
                <w:color w:val="auto"/>
              </w:rPr>
            </w:pPr>
          </w:p>
        </w:tc>
      </w:tr>
      <w:tr>
        <w:trPr>
          <w:trHeight w:val="122"/>
        </w:trPr>
        <w:tc>
          <w:tcPr>
            <w:tcW w:w="4240" w:type="dxa"/>
            <w:vAlign w:val="bottom"/>
            <w:tcBorders>
              <w:bottom w:val="single" w:sz="8" w:color="CFF0FC"/>
            </w:tcBorders>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Installment e-commerce platform service income</w:t>
            </w:r>
          </w:p>
        </w:tc>
        <w:tc>
          <w:tcPr>
            <w:tcW w:w="108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345,074</w:t>
            </w:r>
          </w:p>
        </w:tc>
        <w:tc>
          <w:tcPr>
            <w:tcW w:w="100" w:type="dxa"/>
            <w:vAlign w:val="bottom"/>
            <w:tcBorders>
              <w:bottom w:val="single" w:sz="8" w:color="CFF0FC"/>
            </w:tcBorders>
            <w:shd w:val="clear" w:color="auto" w:fill="CFF0FC"/>
          </w:tcPr>
          <w:p>
            <w:pPr>
              <w:spacing w:after="0"/>
              <w:rPr>
                <w:sz w:val="10"/>
                <w:szCs w:val="10"/>
                <w:color w:val="auto"/>
              </w:rPr>
            </w:pPr>
          </w:p>
        </w:tc>
        <w:tc>
          <w:tcPr>
            <w:tcW w:w="108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388,204</w:t>
            </w:r>
          </w:p>
        </w:tc>
        <w:tc>
          <w:tcPr>
            <w:tcW w:w="10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rPr>
                <w:sz w:val="10"/>
                <w:szCs w:val="10"/>
                <w:color w:val="auto"/>
              </w:rPr>
            </w:pPr>
          </w:p>
        </w:tc>
        <w:tc>
          <w:tcPr>
            <w:tcW w:w="56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55,512</w:t>
            </w:r>
          </w:p>
        </w:tc>
        <w:tc>
          <w:tcPr>
            <w:tcW w:w="200" w:type="dxa"/>
            <w:vAlign w:val="bottom"/>
            <w:tcBorders>
              <w:bottom w:val="single" w:sz="8" w:color="CFF0FC"/>
            </w:tcBorders>
            <w:shd w:val="clear" w:color="auto" w:fill="CFF0FC"/>
          </w:tcPr>
          <w:p>
            <w:pPr>
              <w:spacing w:after="0"/>
              <w:rPr>
                <w:sz w:val="10"/>
                <w:szCs w:val="10"/>
                <w:color w:val="auto"/>
              </w:rPr>
            </w:pPr>
          </w:p>
        </w:tc>
        <w:tc>
          <w:tcPr>
            <w:tcW w:w="110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1,322,287</w:t>
            </w:r>
          </w:p>
        </w:tc>
        <w:tc>
          <w:tcPr>
            <w:tcW w:w="100" w:type="dxa"/>
            <w:vAlign w:val="bottom"/>
            <w:tcBorders>
              <w:bottom w:val="single" w:sz="8" w:color="CFF0FC"/>
            </w:tcBorders>
            <w:shd w:val="clear" w:color="auto" w:fill="CFF0FC"/>
          </w:tcPr>
          <w:p>
            <w:pPr>
              <w:spacing w:after="0"/>
              <w:rPr>
                <w:sz w:val="10"/>
                <w:szCs w:val="10"/>
                <w:color w:val="auto"/>
              </w:rPr>
            </w:pPr>
          </w:p>
        </w:tc>
        <w:tc>
          <w:tcPr>
            <w:tcW w:w="110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1,508,680</w:t>
            </w:r>
          </w:p>
        </w:tc>
        <w:tc>
          <w:tcPr>
            <w:tcW w:w="120" w:type="dxa"/>
            <w:vAlign w:val="bottom"/>
            <w:tcBorders>
              <w:bottom w:val="single" w:sz="8" w:color="CFF0FC"/>
            </w:tcBorders>
            <w:shd w:val="clear" w:color="auto" w:fill="CFF0FC"/>
          </w:tcPr>
          <w:p>
            <w:pPr>
              <w:spacing w:after="0"/>
              <w:rPr>
                <w:sz w:val="10"/>
                <w:szCs w:val="10"/>
                <w:color w:val="auto"/>
              </w:rPr>
            </w:pPr>
          </w:p>
        </w:tc>
        <w:tc>
          <w:tcPr>
            <w:tcW w:w="320" w:type="dxa"/>
            <w:vAlign w:val="bottom"/>
            <w:tcBorders>
              <w:bottom w:val="single" w:sz="8" w:color="auto"/>
            </w:tcBorders>
            <w:shd w:val="clear" w:color="auto" w:fill="CFF0FC"/>
          </w:tcPr>
          <w:p>
            <w:pPr>
              <w:spacing w:after="0"/>
              <w:rPr>
                <w:sz w:val="10"/>
                <w:szCs w:val="10"/>
                <w:color w:val="auto"/>
              </w:rPr>
            </w:pPr>
          </w:p>
        </w:tc>
        <w:tc>
          <w:tcPr>
            <w:tcW w:w="84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215,738</w:t>
            </w:r>
          </w:p>
        </w:tc>
        <w:tc>
          <w:tcPr>
            <w:tcW w:w="100" w:type="dxa"/>
            <w:vAlign w:val="bottom"/>
            <w:tcBorders>
              <w:bottom w:val="single" w:sz="8" w:color="CFF0FC"/>
            </w:tcBorders>
            <w:shd w:val="clear" w:color="auto" w:fill="CFF0FC"/>
          </w:tcPr>
          <w:p>
            <w:pPr>
              <w:spacing w:after="0"/>
              <w:rPr>
                <w:sz w:val="10"/>
                <w:szCs w:val="10"/>
                <w:color w:val="auto"/>
              </w:rPr>
            </w:pPr>
          </w:p>
        </w:tc>
      </w:tr>
      <w:tr>
        <w:trPr>
          <w:trHeight w:val="115"/>
        </w:trPr>
        <w:tc>
          <w:tcPr>
            <w:tcW w:w="424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operating revenue</w:t>
            </w:r>
          </w:p>
        </w:tc>
        <w:tc>
          <w:tcPr>
            <w:tcW w:w="10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3,658,833</w:t>
            </w:r>
          </w:p>
        </w:tc>
        <w:tc>
          <w:tcPr>
            <w:tcW w:w="100" w:type="dxa"/>
            <w:vAlign w:val="bottom"/>
          </w:tcPr>
          <w:p>
            <w:pPr>
              <w:spacing w:after="0"/>
              <w:rPr>
                <w:sz w:val="10"/>
                <w:szCs w:val="10"/>
                <w:color w:val="auto"/>
              </w:rPr>
            </w:pPr>
          </w:p>
        </w:tc>
        <w:tc>
          <w:tcPr>
            <w:tcW w:w="10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3,043,076</w:t>
            </w:r>
          </w:p>
        </w:tc>
        <w:tc>
          <w:tcPr>
            <w:tcW w:w="1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435,153</w:t>
            </w:r>
          </w:p>
        </w:tc>
        <w:tc>
          <w:tcPr>
            <w:tcW w:w="200" w:type="dxa"/>
            <w:vAlign w:val="bottom"/>
          </w:tcPr>
          <w:p>
            <w:pPr>
              <w:spacing w:after="0"/>
              <w:rPr>
                <w:sz w:val="10"/>
                <w:szCs w:val="10"/>
                <w:color w:val="auto"/>
              </w:rPr>
            </w:pPr>
          </w:p>
        </w:tc>
        <w:tc>
          <w:tcPr>
            <w:tcW w:w="11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14,203,594</w:t>
            </w:r>
          </w:p>
        </w:tc>
        <w:tc>
          <w:tcPr>
            <w:tcW w:w="100" w:type="dxa"/>
            <w:vAlign w:val="bottom"/>
          </w:tcPr>
          <w:p>
            <w:pPr>
              <w:spacing w:after="0"/>
              <w:rPr>
                <w:sz w:val="10"/>
                <w:szCs w:val="10"/>
                <w:color w:val="auto"/>
              </w:rPr>
            </w:pPr>
          </w:p>
        </w:tc>
        <w:tc>
          <w:tcPr>
            <w:tcW w:w="11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13,152,087</w:t>
            </w:r>
          </w:p>
        </w:tc>
        <w:tc>
          <w:tcPr>
            <w:tcW w:w="1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1,880,723</w:t>
            </w:r>
          </w:p>
        </w:tc>
        <w:tc>
          <w:tcPr>
            <w:tcW w:w="100" w:type="dxa"/>
            <w:vAlign w:val="bottom"/>
          </w:tcPr>
          <w:p>
            <w:pPr>
              <w:spacing w:after="0"/>
              <w:rPr>
                <w:sz w:val="10"/>
                <w:szCs w:val="10"/>
                <w:color w:val="auto"/>
              </w:rPr>
            </w:pPr>
          </w:p>
        </w:tc>
      </w:tr>
      <w:tr>
        <w:trPr>
          <w:trHeight w:val="115"/>
        </w:trPr>
        <w:tc>
          <w:tcPr>
            <w:tcW w:w="424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Operating cost</w:t>
            </w: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2"/>
        </w:trPr>
        <w:tc>
          <w:tcPr>
            <w:tcW w:w="42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Cost of sales</w:t>
            </w:r>
          </w:p>
        </w:tc>
        <w:tc>
          <w:tcPr>
            <w:tcW w:w="11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(352,749)</w:t>
            </w:r>
          </w:p>
        </w:tc>
        <w:tc>
          <w:tcPr>
            <w:tcW w:w="118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(248,121)</w:t>
            </w:r>
          </w:p>
        </w:tc>
        <w:tc>
          <w:tcPr>
            <w:tcW w:w="200" w:type="dxa"/>
            <w:vAlign w:val="bottom"/>
          </w:tcPr>
          <w:p>
            <w:pPr>
              <w:spacing w:after="0"/>
              <w:rPr>
                <w:sz w:val="10"/>
                <w:szCs w:val="10"/>
                <w:color w:val="auto"/>
              </w:rPr>
            </w:pPr>
          </w:p>
        </w:tc>
        <w:tc>
          <w:tcPr>
            <w:tcW w:w="76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(35,481)</w:t>
            </w:r>
          </w:p>
        </w:tc>
        <w:tc>
          <w:tcPr>
            <w:tcW w:w="12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(1,319,526)</w:t>
            </w:r>
          </w:p>
        </w:tc>
        <w:tc>
          <w:tcPr>
            <w:tcW w:w="12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(1,206,033)</w:t>
            </w:r>
          </w:p>
        </w:tc>
        <w:tc>
          <w:tcPr>
            <w:tcW w:w="320" w:type="dxa"/>
            <w:vAlign w:val="bottom"/>
          </w:tcPr>
          <w:p>
            <w:pPr>
              <w:spacing w:after="0"/>
              <w:rPr>
                <w:sz w:val="10"/>
                <w:szCs w:val="10"/>
                <w:color w:val="auto"/>
              </w:rPr>
            </w:pPr>
          </w:p>
        </w:tc>
        <w:tc>
          <w:tcPr>
            <w:tcW w:w="9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(172,460)</w:t>
            </w:r>
          </w:p>
        </w:tc>
      </w:tr>
      <w:tr>
        <w:trPr>
          <w:trHeight w:val="122"/>
        </w:trPr>
        <w:tc>
          <w:tcPr>
            <w:tcW w:w="42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Funding cost</w:t>
            </w:r>
          </w:p>
        </w:tc>
        <w:tc>
          <w:tcPr>
            <w:tcW w:w="11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(57,471)</w:t>
            </w:r>
          </w:p>
        </w:tc>
        <w:tc>
          <w:tcPr>
            <w:tcW w:w="118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(34,185)</w:t>
            </w:r>
          </w:p>
        </w:tc>
        <w:tc>
          <w:tcPr>
            <w:tcW w:w="20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(4,888)</w:t>
            </w:r>
          </w:p>
        </w:tc>
        <w:tc>
          <w:tcPr>
            <w:tcW w:w="120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(326,451)</w:t>
            </w:r>
          </w:p>
        </w:tc>
        <w:tc>
          <w:tcPr>
            <w:tcW w:w="122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(228,958)</w:t>
            </w:r>
          </w:p>
        </w:tc>
        <w:tc>
          <w:tcPr>
            <w:tcW w:w="320" w:type="dxa"/>
            <w:vAlign w:val="bottom"/>
            <w:shd w:val="clear" w:color="auto" w:fill="CFF0FC"/>
          </w:tcPr>
          <w:p>
            <w:pPr>
              <w:spacing w:after="0"/>
              <w:rPr>
                <w:sz w:val="10"/>
                <w:szCs w:val="10"/>
                <w:color w:val="auto"/>
              </w:rPr>
            </w:pPr>
          </w:p>
        </w:tc>
        <w:tc>
          <w:tcPr>
            <w:tcW w:w="94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(32,741)</w:t>
            </w:r>
          </w:p>
        </w:tc>
      </w:tr>
      <w:tr>
        <w:trPr>
          <w:trHeight w:val="122"/>
        </w:trPr>
        <w:tc>
          <w:tcPr>
            <w:tcW w:w="42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Processing and servicing cost</w:t>
            </w:r>
          </w:p>
        </w:tc>
        <w:tc>
          <w:tcPr>
            <w:tcW w:w="11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(583,119)</w:t>
            </w:r>
          </w:p>
        </w:tc>
        <w:tc>
          <w:tcPr>
            <w:tcW w:w="118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(632,479)</w:t>
            </w:r>
          </w:p>
        </w:tc>
        <w:tc>
          <w:tcPr>
            <w:tcW w:w="200" w:type="dxa"/>
            <w:vAlign w:val="bottom"/>
          </w:tcPr>
          <w:p>
            <w:pPr>
              <w:spacing w:after="0"/>
              <w:rPr>
                <w:sz w:val="10"/>
                <w:szCs w:val="10"/>
                <w:color w:val="auto"/>
              </w:rPr>
            </w:pPr>
          </w:p>
        </w:tc>
        <w:tc>
          <w:tcPr>
            <w:tcW w:w="76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(90,443)</w:t>
            </w:r>
          </w:p>
        </w:tc>
        <w:tc>
          <w:tcPr>
            <w:tcW w:w="12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(2,291,904)</w:t>
            </w:r>
          </w:p>
        </w:tc>
        <w:tc>
          <w:tcPr>
            <w:tcW w:w="12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(2,442,557)</w:t>
            </w:r>
          </w:p>
        </w:tc>
        <w:tc>
          <w:tcPr>
            <w:tcW w:w="320" w:type="dxa"/>
            <w:vAlign w:val="bottom"/>
          </w:tcPr>
          <w:p>
            <w:pPr>
              <w:spacing w:after="0"/>
              <w:rPr>
                <w:sz w:val="10"/>
                <w:szCs w:val="10"/>
                <w:color w:val="auto"/>
              </w:rPr>
            </w:pPr>
          </w:p>
        </w:tc>
        <w:tc>
          <w:tcPr>
            <w:tcW w:w="9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(349,281)</w:t>
            </w:r>
          </w:p>
        </w:tc>
      </w:tr>
      <w:tr>
        <w:trPr>
          <w:trHeight w:val="121"/>
        </w:trPr>
        <w:tc>
          <w:tcPr>
            <w:tcW w:w="42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Provision for financing receivables</w:t>
            </w:r>
          </w:p>
        </w:tc>
        <w:tc>
          <w:tcPr>
            <w:tcW w:w="11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(296,741)</w:t>
            </w:r>
          </w:p>
        </w:tc>
        <w:tc>
          <w:tcPr>
            <w:tcW w:w="118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(250,218)</w:t>
            </w:r>
          </w:p>
        </w:tc>
        <w:tc>
          <w:tcPr>
            <w:tcW w:w="20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(35,781)</w:t>
            </w:r>
          </w:p>
        </w:tc>
        <w:tc>
          <w:tcPr>
            <w:tcW w:w="120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(865,524)</w:t>
            </w:r>
          </w:p>
        </w:tc>
        <w:tc>
          <w:tcPr>
            <w:tcW w:w="122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(1,016,742)</w:t>
            </w:r>
          </w:p>
        </w:tc>
        <w:tc>
          <w:tcPr>
            <w:tcW w:w="320" w:type="dxa"/>
            <w:vAlign w:val="bottom"/>
            <w:shd w:val="clear" w:color="auto" w:fill="CFF0FC"/>
          </w:tcPr>
          <w:p>
            <w:pPr>
              <w:spacing w:after="0"/>
              <w:rPr>
                <w:sz w:val="10"/>
                <w:szCs w:val="10"/>
                <w:color w:val="auto"/>
              </w:rPr>
            </w:pPr>
          </w:p>
        </w:tc>
        <w:tc>
          <w:tcPr>
            <w:tcW w:w="94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(145,392)</w:t>
            </w:r>
          </w:p>
        </w:tc>
      </w:tr>
      <w:tr>
        <w:trPr>
          <w:trHeight w:val="122"/>
        </w:trPr>
        <w:tc>
          <w:tcPr>
            <w:tcW w:w="42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Provision for contract assets and receivables</w:t>
            </w:r>
          </w:p>
        </w:tc>
        <w:tc>
          <w:tcPr>
            <w:tcW w:w="11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(153,968)</w:t>
            </w:r>
          </w:p>
        </w:tc>
        <w:tc>
          <w:tcPr>
            <w:tcW w:w="118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(158,797)</w:t>
            </w:r>
          </w:p>
        </w:tc>
        <w:tc>
          <w:tcPr>
            <w:tcW w:w="200" w:type="dxa"/>
            <w:vAlign w:val="bottom"/>
          </w:tcPr>
          <w:p>
            <w:pPr>
              <w:spacing w:after="0"/>
              <w:rPr>
                <w:sz w:val="10"/>
                <w:szCs w:val="10"/>
                <w:color w:val="auto"/>
              </w:rPr>
            </w:pPr>
          </w:p>
        </w:tc>
        <w:tc>
          <w:tcPr>
            <w:tcW w:w="76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(22,708)</w:t>
            </w:r>
          </w:p>
        </w:tc>
        <w:tc>
          <w:tcPr>
            <w:tcW w:w="12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(718,413)</w:t>
            </w:r>
          </w:p>
        </w:tc>
        <w:tc>
          <w:tcPr>
            <w:tcW w:w="12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(614,364)</w:t>
            </w:r>
          </w:p>
        </w:tc>
        <w:tc>
          <w:tcPr>
            <w:tcW w:w="320" w:type="dxa"/>
            <w:vAlign w:val="bottom"/>
          </w:tcPr>
          <w:p>
            <w:pPr>
              <w:spacing w:after="0"/>
              <w:rPr>
                <w:sz w:val="10"/>
                <w:szCs w:val="10"/>
                <w:color w:val="auto"/>
              </w:rPr>
            </w:pPr>
          </w:p>
        </w:tc>
        <w:tc>
          <w:tcPr>
            <w:tcW w:w="9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(87,853)</w:t>
            </w:r>
          </w:p>
        </w:tc>
      </w:tr>
      <w:tr>
        <w:trPr>
          <w:trHeight w:val="122"/>
        </w:trPr>
        <w:tc>
          <w:tcPr>
            <w:tcW w:w="42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Provision for contingent guarantee liabilities</w:t>
            </w:r>
          </w:p>
        </w:tc>
        <w:tc>
          <w:tcPr>
            <w:tcW w:w="11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(940,740)</w:t>
            </w:r>
          </w:p>
        </w:tc>
        <w:tc>
          <w:tcPr>
            <w:tcW w:w="118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(935,194)</w:t>
            </w:r>
          </w:p>
        </w:tc>
        <w:tc>
          <w:tcPr>
            <w:tcW w:w="20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(133,731)</w:t>
            </w:r>
          </w:p>
        </w:tc>
        <w:tc>
          <w:tcPr>
            <w:tcW w:w="120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(3,655,548)</w:t>
            </w:r>
          </w:p>
        </w:tc>
        <w:tc>
          <w:tcPr>
            <w:tcW w:w="122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(3,174,787)</w:t>
            </w:r>
          </w:p>
        </w:tc>
        <w:tc>
          <w:tcPr>
            <w:tcW w:w="320" w:type="dxa"/>
            <w:vAlign w:val="bottom"/>
            <w:shd w:val="clear" w:color="auto" w:fill="CFF0FC"/>
          </w:tcPr>
          <w:p>
            <w:pPr>
              <w:spacing w:after="0"/>
              <w:rPr>
                <w:sz w:val="10"/>
                <w:szCs w:val="10"/>
                <w:color w:val="auto"/>
              </w:rPr>
            </w:pPr>
          </w:p>
        </w:tc>
        <w:tc>
          <w:tcPr>
            <w:tcW w:w="94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(453,989)</w:t>
            </w:r>
          </w:p>
        </w:tc>
      </w:tr>
      <w:tr>
        <w:trPr>
          <w:trHeight w:val="20"/>
        </w:trPr>
        <w:tc>
          <w:tcPr>
            <w:tcW w:w="42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15"/>
        </w:trPr>
        <w:tc>
          <w:tcPr>
            <w:tcW w:w="424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operating cost</w:t>
            </w:r>
          </w:p>
        </w:tc>
        <w:tc>
          <w:tcPr>
            <w:tcW w:w="118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(2,384,788)</w:t>
            </w:r>
          </w:p>
        </w:tc>
        <w:tc>
          <w:tcPr>
            <w:tcW w:w="1180" w:type="dxa"/>
            <w:vAlign w:val="bottom"/>
            <w:gridSpan w:val="2"/>
          </w:tcPr>
          <w:p>
            <w:pPr>
              <w:jc w:val="right"/>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(2,258,994)</w:t>
            </w:r>
          </w:p>
        </w:tc>
        <w:tc>
          <w:tcPr>
            <w:tcW w:w="200" w:type="dxa"/>
            <w:vAlign w:val="bottom"/>
          </w:tcPr>
          <w:p>
            <w:pPr>
              <w:spacing w:after="0"/>
              <w:rPr>
                <w:sz w:val="10"/>
                <w:szCs w:val="10"/>
                <w:color w:val="auto"/>
              </w:rPr>
            </w:pPr>
          </w:p>
        </w:tc>
        <w:tc>
          <w:tcPr>
            <w:tcW w:w="76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(323,032)</w:t>
            </w:r>
          </w:p>
        </w:tc>
        <w:tc>
          <w:tcPr>
            <w:tcW w:w="1200" w:type="dxa"/>
            <w:vAlign w:val="bottom"/>
            <w:gridSpan w:val="2"/>
          </w:tcPr>
          <w:p>
            <w:pPr>
              <w:jc w:val="right"/>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(9,177,366)</w:t>
            </w:r>
          </w:p>
        </w:tc>
        <w:tc>
          <w:tcPr>
            <w:tcW w:w="122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(8,683,441)</w:t>
            </w:r>
          </w:p>
        </w:tc>
        <w:tc>
          <w:tcPr>
            <w:tcW w:w="320" w:type="dxa"/>
            <w:vAlign w:val="bottom"/>
          </w:tcPr>
          <w:p>
            <w:pPr>
              <w:spacing w:after="0"/>
              <w:rPr>
                <w:sz w:val="10"/>
                <w:szCs w:val="10"/>
                <w:color w:val="auto"/>
              </w:rPr>
            </w:pPr>
          </w:p>
        </w:tc>
        <w:tc>
          <w:tcPr>
            <w:tcW w:w="94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(1,241,716)</w:t>
            </w:r>
          </w:p>
        </w:tc>
      </w:tr>
      <w:tr>
        <w:trPr>
          <w:trHeight w:val="115"/>
        </w:trPr>
        <w:tc>
          <w:tcPr>
            <w:tcW w:w="4240" w:type="dxa"/>
            <w:vAlign w:val="bottom"/>
            <w:tcBorders>
              <w:bottom w:val="single" w:sz="8" w:color="CFF0FC"/>
            </w:tcBorders>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Gross profit</w:t>
            </w:r>
          </w:p>
        </w:tc>
        <w:tc>
          <w:tcPr>
            <w:tcW w:w="10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1,274,045</w:t>
            </w:r>
          </w:p>
        </w:tc>
        <w:tc>
          <w:tcPr>
            <w:tcW w:w="100" w:type="dxa"/>
            <w:vAlign w:val="bottom"/>
            <w:tcBorders>
              <w:bottom w:val="single" w:sz="8" w:color="CFF0FC"/>
            </w:tcBorders>
            <w:shd w:val="clear" w:color="auto" w:fill="CFF0FC"/>
          </w:tcPr>
          <w:p>
            <w:pPr>
              <w:spacing w:after="0"/>
              <w:rPr>
                <w:sz w:val="10"/>
                <w:szCs w:val="10"/>
                <w:color w:val="auto"/>
              </w:rPr>
            </w:pPr>
          </w:p>
        </w:tc>
        <w:tc>
          <w:tcPr>
            <w:tcW w:w="10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784,082</w:t>
            </w:r>
          </w:p>
        </w:tc>
        <w:tc>
          <w:tcPr>
            <w:tcW w:w="10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top w:val="single" w:sz="8" w:color="auto"/>
              <w:bottom w:val="single" w:sz="8" w:color="auto"/>
            </w:tcBorders>
            <w:shd w:val="clear" w:color="auto" w:fill="CFF0FC"/>
          </w:tcPr>
          <w:p>
            <w:pPr>
              <w:spacing w:after="0"/>
              <w:rPr>
                <w:sz w:val="10"/>
                <w:szCs w:val="10"/>
                <w:color w:val="auto"/>
              </w:rPr>
            </w:pPr>
          </w:p>
        </w:tc>
        <w:tc>
          <w:tcPr>
            <w:tcW w:w="5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112,121</w:t>
            </w:r>
          </w:p>
        </w:tc>
        <w:tc>
          <w:tcPr>
            <w:tcW w:w="200" w:type="dxa"/>
            <w:vAlign w:val="bottom"/>
            <w:tcBorders>
              <w:bottom w:val="single" w:sz="8" w:color="CFF0FC"/>
            </w:tcBorders>
            <w:shd w:val="clear" w:color="auto" w:fill="CFF0FC"/>
          </w:tcPr>
          <w:p>
            <w:pPr>
              <w:spacing w:after="0"/>
              <w:rPr>
                <w:sz w:val="10"/>
                <w:szCs w:val="10"/>
                <w:color w:val="auto"/>
              </w:rPr>
            </w:pPr>
          </w:p>
        </w:tc>
        <w:tc>
          <w:tcPr>
            <w:tcW w:w="11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5,026,228</w:t>
            </w:r>
          </w:p>
        </w:tc>
        <w:tc>
          <w:tcPr>
            <w:tcW w:w="100" w:type="dxa"/>
            <w:vAlign w:val="bottom"/>
            <w:tcBorders>
              <w:bottom w:val="single" w:sz="8" w:color="CFF0FC"/>
            </w:tcBorders>
            <w:shd w:val="clear" w:color="auto" w:fill="CFF0FC"/>
          </w:tcPr>
          <w:p>
            <w:pPr>
              <w:spacing w:after="0"/>
              <w:rPr>
                <w:sz w:val="10"/>
                <w:szCs w:val="10"/>
                <w:color w:val="auto"/>
              </w:rPr>
            </w:pPr>
          </w:p>
        </w:tc>
        <w:tc>
          <w:tcPr>
            <w:tcW w:w="11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4,468,646</w:t>
            </w:r>
          </w:p>
        </w:tc>
        <w:tc>
          <w:tcPr>
            <w:tcW w:w="120" w:type="dxa"/>
            <w:vAlign w:val="bottom"/>
            <w:tcBorders>
              <w:bottom w:val="single" w:sz="8" w:color="CFF0FC"/>
            </w:tcBorders>
            <w:shd w:val="clear" w:color="auto" w:fill="CFF0FC"/>
          </w:tcPr>
          <w:p>
            <w:pPr>
              <w:spacing w:after="0"/>
              <w:rPr>
                <w:sz w:val="10"/>
                <w:szCs w:val="10"/>
                <w:color w:val="auto"/>
              </w:rPr>
            </w:pPr>
          </w:p>
        </w:tc>
        <w:tc>
          <w:tcPr>
            <w:tcW w:w="320" w:type="dxa"/>
            <w:vAlign w:val="bottom"/>
            <w:tcBorders>
              <w:top w:val="single" w:sz="8" w:color="auto"/>
              <w:bottom w:val="single" w:sz="8" w:color="auto"/>
            </w:tcBorders>
            <w:shd w:val="clear" w:color="auto" w:fill="CFF0FC"/>
          </w:tcPr>
          <w:p>
            <w:pPr>
              <w:spacing w:after="0"/>
              <w:rPr>
                <w:sz w:val="10"/>
                <w:szCs w:val="10"/>
                <w:color w:val="auto"/>
              </w:rPr>
            </w:pPr>
          </w:p>
        </w:tc>
        <w:tc>
          <w:tcPr>
            <w:tcW w:w="8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639,007</w:t>
            </w:r>
          </w:p>
        </w:tc>
        <w:tc>
          <w:tcPr>
            <w:tcW w:w="100" w:type="dxa"/>
            <w:vAlign w:val="bottom"/>
            <w:tcBorders>
              <w:bottom w:val="single" w:sz="8" w:color="CFF0FC"/>
            </w:tcBorders>
            <w:shd w:val="clear" w:color="auto" w:fill="CFF0FC"/>
          </w:tcPr>
          <w:p>
            <w:pPr>
              <w:spacing w:after="0"/>
              <w:rPr>
                <w:sz w:val="10"/>
                <w:szCs w:val="10"/>
                <w:color w:val="auto"/>
              </w:rPr>
            </w:pPr>
          </w:p>
        </w:tc>
      </w:tr>
      <w:tr>
        <w:trPr>
          <w:trHeight w:val="115"/>
        </w:trPr>
        <w:tc>
          <w:tcPr>
            <w:tcW w:w="424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Operating expenses:</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42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Sales and marketing expenses</w:t>
            </w:r>
          </w:p>
        </w:tc>
        <w:tc>
          <w:tcPr>
            <w:tcW w:w="11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(464,263)</w:t>
            </w:r>
          </w:p>
        </w:tc>
        <w:tc>
          <w:tcPr>
            <w:tcW w:w="118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(388,093)</w:t>
            </w:r>
          </w:p>
        </w:tc>
        <w:tc>
          <w:tcPr>
            <w:tcW w:w="20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(55,497)</w:t>
            </w:r>
          </w:p>
        </w:tc>
        <w:tc>
          <w:tcPr>
            <w:tcW w:w="120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(1,787,299)</w:t>
            </w:r>
          </w:p>
        </w:tc>
        <w:tc>
          <w:tcPr>
            <w:tcW w:w="122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(1,918,894)</w:t>
            </w:r>
          </w:p>
        </w:tc>
        <w:tc>
          <w:tcPr>
            <w:tcW w:w="320" w:type="dxa"/>
            <w:vAlign w:val="bottom"/>
            <w:shd w:val="clear" w:color="auto" w:fill="CFF0FC"/>
          </w:tcPr>
          <w:p>
            <w:pPr>
              <w:spacing w:after="0"/>
              <w:rPr>
                <w:sz w:val="10"/>
                <w:szCs w:val="10"/>
                <w:color w:val="auto"/>
              </w:rPr>
            </w:pPr>
          </w:p>
        </w:tc>
        <w:tc>
          <w:tcPr>
            <w:tcW w:w="94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(274,398)</w:t>
            </w:r>
          </w:p>
        </w:tc>
      </w:tr>
      <w:tr>
        <w:trPr>
          <w:trHeight w:val="121"/>
        </w:trPr>
        <w:tc>
          <w:tcPr>
            <w:tcW w:w="42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Research and development expenses</w:t>
            </w:r>
          </w:p>
        </w:tc>
        <w:tc>
          <w:tcPr>
            <w:tcW w:w="11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(151,081)</w:t>
            </w:r>
          </w:p>
        </w:tc>
        <w:tc>
          <w:tcPr>
            <w:tcW w:w="118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(131,947)</w:t>
            </w:r>
          </w:p>
        </w:tc>
        <w:tc>
          <w:tcPr>
            <w:tcW w:w="200" w:type="dxa"/>
            <w:vAlign w:val="bottom"/>
          </w:tcPr>
          <w:p>
            <w:pPr>
              <w:spacing w:after="0"/>
              <w:rPr>
                <w:sz w:val="10"/>
                <w:szCs w:val="10"/>
                <w:color w:val="auto"/>
              </w:rPr>
            </w:pPr>
          </w:p>
        </w:tc>
        <w:tc>
          <w:tcPr>
            <w:tcW w:w="76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(18,868)</w:t>
            </w:r>
          </w:p>
        </w:tc>
        <w:tc>
          <w:tcPr>
            <w:tcW w:w="12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(578,243)</w:t>
            </w:r>
          </w:p>
        </w:tc>
        <w:tc>
          <w:tcPr>
            <w:tcW w:w="12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(595,316)</w:t>
            </w:r>
          </w:p>
        </w:tc>
        <w:tc>
          <w:tcPr>
            <w:tcW w:w="320" w:type="dxa"/>
            <w:vAlign w:val="bottom"/>
          </w:tcPr>
          <w:p>
            <w:pPr>
              <w:spacing w:after="0"/>
              <w:rPr>
                <w:sz w:val="10"/>
                <w:szCs w:val="10"/>
                <w:color w:val="auto"/>
              </w:rPr>
            </w:pPr>
          </w:p>
        </w:tc>
        <w:tc>
          <w:tcPr>
            <w:tcW w:w="9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(85,129)</w:t>
            </w:r>
          </w:p>
        </w:tc>
      </w:tr>
      <w:tr>
        <w:trPr>
          <w:trHeight w:val="122"/>
        </w:trPr>
        <w:tc>
          <w:tcPr>
            <w:tcW w:w="42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General and administrative expenses</w:t>
            </w:r>
          </w:p>
        </w:tc>
        <w:tc>
          <w:tcPr>
            <w:tcW w:w="11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(95,335)</w:t>
            </w:r>
          </w:p>
        </w:tc>
        <w:tc>
          <w:tcPr>
            <w:tcW w:w="118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(69,964)</w:t>
            </w:r>
          </w:p>
        </w:tc>
        <w:tc>
          <w:tcPr>
            <w:tcW w:w="20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(10,005)</w:t>
            </w:r>
          </w:p>
        </w:tc>
        <w:tc>
          <w:tcPr>
            <w:tcW w:w="120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(374,481)</w:t>
            </w:r>
          </w:p>
        </w:tc>
        <w:tc>
          <w:tcPr>
            <w:tcW w:w="122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(361,819)</w:t>
            </w:r>
          </w:p>
        </w:tc>
        <w:tc>
          <w:tcPr>
            <w:tcW w:w="320" w:type="dxa"/>
            <w:vAlign w:val="bottom"/>
            <w:shd w:val="clear" w:color="auto" w:fill="CFF0FC"/>
          </w:tcPr>
          <w:p>
            <w:pPr>
              <w:spacing w:after="0"/>
              <w:rPr>
                <w:sz w:val="10"/>
                <w:szCs w:val="10"/>
                <w:color w:val="auto"/>
              </w:rPr>
            </w:pPr>
          </w:p>
        </w:tc>
        <w:tc>
          <w:tcPr>
            <w:tcW w:w="94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(51,739)</w:t>
            </w:r>
          </w:p>
        </w:tc>
      </w:tr>
      <w:tr>
        <w:trPr>
          <w:trHeight w:val="20"/>
        </w:trPr>
        <w:tc>
          <w:tcPr>
            <w:tcW w:w="42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15"/>
        </w:trPr>
        <w:tc>
          <w:tcPr>
            <w:tcW w:w="424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Total operating expenses</w:t>
            </w:r>
          </w:p>
        </w:tc>
        <w:tc>
          <w:tcPr>
            <w:tcW w:w="118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(710,679)</w:t>
            </w:r>
          </w:p>
        </w:tc>
        <w:tc>
          <w:tcPr>
            <w:tcW w:w="1180" w:type="dxa"/>
            <w:vAlign w:val="bottom"/>
            <w:gridSpan w:val="2"/>
          </w:tcPr>
          <w:p>
            <w:pPr>
              <w:jc w:val="right"/>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(590,004)</w:t>
            </w:r>
          </w:p>
        </w:tc>
        <w:tc>
          <w:tcPr>
            <w:tcW w:w="200" w:type="dxa"/>
            <w:vAlign w:val="bottom"/>
          </w:tcPr>
          <w:p>
            <w:pPr>
              <w:spacing w:after="0"/>
              <w:rPr>
                <w:sz w:val="10"/>
                <w:szCs w:val="10"/>
                <w:color w:val="auto"/>
              </w:rPr>
            </w:pPr>
          </w:p>
        </w:tc>
        <w:tc>
          <w:tcPr>
            <w:tcW w:w="76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(84,370)</w:t>
            </w:r>
          </w:p>
        </w:tc>
        <w:tc>
          <w:tcPr>
            <w:tcW w:w="1200" w:type="dxa"/>
            <w:vAlign w:val="bottom"/>
            <w:gridSpan w:val="2"/>
          </w:tcPr>
          <w:p>
            <w:pPr>
              <w:jc w:val="right"/>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(2,740,023)</w:t>
            </w:r>
          </w:p>
        </w:tc>
        <w:tc>
          <w:tcPr>
            <w:tcW w:w="122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(2,876,029)</w:t>
            </w:r>
          </w:p>
        </w:tc>
        <w:tc>
          <w:tcPr>
            <w:tcW w:w="320" w:type="dxa"/>
            <w:vAlign w:val="bottom"/>
          </w:tcPr>
          <w:p>
            <w:pPr>
              <w:spacing w:after="0"/>
              <w:rPr>
                <w:sz w:val="10"/>
                <w:szCs w:val="10"/>
                <w:color w:val="auto"/>
              </w:rPr>
            </w:pPr>
          </w:p>
        </w:tc>
        <w:tc>
          <w:tcPr>
            <w:tcW w:w="94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(411,266)</w:t>
            </w:r>
          </w:p>
        </w:tc>
      </w:tr>
      <w:tr>
        <w:trPr>
          <w:trHeight w:val="20"/>
        </w:trPr>
        <w:tc>
          <w:tcPr>
            <w:tcW w:w="4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5"/>
        </w:trPr>
        <w:tc>
          <w:tcPr>
            <w:tcW w:w="4240" w:type="dxa"/>
            <w:vAlign w:val="bottom"/>
            <w:shd w:val="clear" w:color="auto" w:fill="CFF0FC"/>
          </w:tcPr>
          <w:p>
            <w:pPr>
              <w:ind w:left="80"/>
              <w:spacing w:after="0" w:line="115" w:lineRule="exact"/>
              <w:rPr>
                <w:sz w:val="20"/>
                <w:szCs w:val="20"/>
                <w:color w:val="auto"/>
              </w:rPr>
            </w:pPr>
            <w:r>
              <w:rPr>
                <w:rFonts w:ascii="Times New Roman" w:cs="Times New Roman" w:eastAsia="Times New Roman" w:hAnsi="Times New Roman"/>
                <w:sz w:val="11"/>
                <w:szCs w:val="11"/>
                <w:color w:val="auto"/>
              </w:rPr>
              <w:t>Change in fair value of financial guarantee derivatives and loans at fair value</w:t>
            </w:r>
          </w:p>
        </w:tc>
        <w:tc>
          <w:tcPr>
            <w:tcW w:w="1180" w:type="dxa"/>
            <w:vAlign w:val="bottom"/>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(143,619)</w:t>
            </w:r>
          </w:p>
        </w:tc>
        <w:tc>
          <w:tcPr>
            <w:tcW w:w="10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79,433</w:t>
            </w: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11,359</w:t>
            </w:r>
          </w:p>
        </w:tc>
        <w:tc>
          <w:tcPr>
            <w:tcW w:w="200" w:type="dxa"/>
            <w:vAlign w:val="bottom"/>
            <w:shd w:val="clear" w:color="auto" w:fill="CFF0FC"/>
          </w:tcPr>
          <w:p>
            <w:pPr>
              <w:spacing w:after="0"/>
              <w:rPr>
                <w:sz w:val="10"/>
                <w:szCs w:val="10"/>
                <w:color w:val="auto"/>
              </w:rPr>
            </w:pPr>
          </w:p>
        </w:tc>
        <w:tc>
          <w:tcPr>
            <w:tcW w:w="120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(979,234)</w:t>
            </w:r>
          </w:p>
        </w:tc>
        <w:tc>
          <w:tcPr>
            <w:tcW w:w="1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508,160</w:t>
            </w: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72,666</w:t>
            </w:r>
          </w:p>
        </w:tc>
        <w:tc>
          <w:tcPr>
            <w:tcW w:w="100" w:type="dxa"/>
            <w:vAlign w:val="bottom"/>
            <w:shd w:val="clear" w:color="auto" w:fill="CFF0FC"/>
          </w:tcPr>
          <w:p>
            <w:pPr>
              <w:spacing w:after="0"/>
              <w:rPr>
                <w:sz w:val="10"/>
                <w:szCs w:val="10"/>
                <w:color w:val="auto"/>
              </w:rPr>
            </w:pPr>
          </w:p>
        </w:tc>
      </w:tr>
      <w:tr>
        <w:trPr>
          <w:trHeight w:val="122"/>
        </w:trPr>
        <w:tc>
          <w:tcPr>
            <w:tcW w:w="42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Interest expense, net</w:t>
            </w:r>
          </w:p>
        </w:tc>
        <w:tc>
          <w:tcPr>
            <w:tcW w:w="11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(2,560)</w:t>
            </w:r>
          </w:p>
        </w:tc>
        <w:tc>
          <w:tcPr>
            <w:tcW w:w="118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(8,015)</w:t>
            </w:r>
          </w:p>
        </w:tc>
        <w:tc>
          <w:tcPr>
            <w:tcW w:w="200" w:type="dxa"/>
            <w:vAlign w:val="bottom"/>
          </w:tcPr>
          <w:p>
            <w:pPr>
              <w:spacing w:after="0"/>
              <w:rPr>
                <w:sz w:val="10"/>
                <w:szCs w:val="10"/>
                <w:color w:val="auto"/>
              </w:rPr>
            </w:pPr>
          </w:p>
        </w:tc>
        <w:tc>
          <w:tcPr>
            <w:tcW w:w="76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(1,146)</w:t>
            </w:r>
          </w:p>
        </w:tc>
        <w:tc>
          <w:tcPr>
            <w:tcW w:w="12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(9,007)</w:t>
            </w:r>
          </w:p>
        </w:tc>
        <w:tc>
          <w:tcPr>
            <w:tcW w:w="12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(22,732)</w:t>
            </w:r>
          </w:p>
        </w:tc>
        <w:tc>
          <w:tcPr>
            <w:tcW w:w="320" w:type="dxa"/>
            <w:vAlign w:val="bottom"/>
          </w:tcPr>
          <w:p>
            <w:pPr>
              <w:spacing w:after="0"/>
              <w:rPr>
                <w:sz w:val="10"/>
                <w:szCs w:val="10"/>
                <w:color w:val="auto"/>
              </w:rPr>
            </w:pPr>
          </w:p>
        </w:tc>
        <w:tc>
          <w:tcPr>
            <w:tcW w:w="9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(3,251)</w:t>
            </w:r>
          </w:p>
        </w:tc>
      </w:tr>
      <w:tr>
        <w:trPr>
          <w:trHeight w:val="122"/>
        </w:trPr>
        <w:tc>
          <w:tcPr>
            <w:tcW w:w="42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Investment loss</w:t>
            </w:r>
          </w:p>
        </w:tc>
        <w:tc>
          <w:tcPr>
            <w:tcW w:w="11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(543)</w:t>
            </w:r>
          </w:p>
        </w:tc>
        <w:tc>
          <w:tcPr>
            <w:tcW w:w="118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(3,503)</w:t>
            </w:r>
          </w:p>
        </w:tc>
        <w:tc>
          <w:tcPr>
            <w:tcW w:w="20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(501)</w:t>
            </w:r>
          </w:p>
        </w:tc>
        <w:tc>
          <w:tcPr>
            <w:tcW w:w="120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(2,417)</w:t>
            </w:r>
          </w:p>
        </w:tc>
        <w:tc>
          <w:tcPr>
            <w:tcW w:w="122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(21,903)</w:t>
            </w:r>
          </w:p>
        </w:tc>
        <w:tc>
          <w:tcPr>
            <w:tcW w:w="320" w:type="dxa"/>
            <w:vAlign w:val="bottom"/>
            <w:shd w:val="clear" w:color="auto" w:fill="CFF0FC"/>
          </w:tcPr>
          <w:p>
            <w:pPr>
              <w:spacing w:after="0"/>
              <w:rPr>
                <w:sz w:val="10"/>
                <w:szCs w:val="10"/>
                <w:color w:val="auto"/>
              </w:rPr>
            </w:pPr>
          </w:p>
        </w:tc>
        <w:tc>
          <w:tcPr>
            <w:tcW w:w="94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(3,132)</w:t>
            </w:r>
          </w:p>
        </w:tc>
      </w:tr>
      <w:tr>
        <w:trPr>
          <w:trHeight w:val="122"/>
        </w:trPr>
        <w:tc>
          <w:tcPr>
            <w:tcW w:w="42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Others, net</w:t>
            </w:r>
          </w:p>
        </w:tc>
        <w:tc>
          <w:tcPr>
            <w:tcW w:w="10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13,754</w:t>
            </w:r>
          </w:p>
        </w:tc>
        <w:tc>
          <w:tcPr>
            <w:tcW w:w="100" w:type="dxa"/>
            <w:vAlign w:val="bottom"/>
          </w:tcPr>
          <w:p>
            <w:pPr>
              <w:spacing w:after="0"/>
              <w:rPr>
                <w:sz w:val="10"/>
                <w:szCs w:val="10"/>
                <w:color w:val="auto"/>
              </w:rPr>
            </w:pPr>
          </w:p>
        </w:tc>
        <w:tc>
          <w:tcPr>
            <w:tcW w:w="10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4,014</w:t>
            </w:r>
          </w:p>
        </w:tc>
        <w:tc>
          <w:tcPr>
            <w:tcW w:w="1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574</w:t>
            </w:r>
          </w:p>
        </w:tc>
        <w:tc>
          <w:tcPr>
            <w:tcW w:w="200" w:type="dxa"/>
            <w:vAlign w:val="bottom"/>
          </w:tcPr>
          <w:p>
            <w:pPr>
              <w:spacing w:after="0"/>
              <w:rPr>
                <w:sz w:val="10"/>
                <w:szCs w:val="10"/>
                <w:color w:val="auto"/>
              </w:rPr>
            </w:pPr>
          </w:p>
        </w:tc>
        <w:tc>
          <w:tcPr>
            <w:tcW w:w="11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58,188</w:t>
            </w:r>
          </w:p>
        </w:tc>
        <w:tc>
          <w:tcPr>
            <w:tcW w:w="100" w:type="dxa"/>
            <w:vAlign w:val="bottom"/>
          </w:tcPr>
          <w:p>
            <w:pPr>
              <w:spacing w:after="0"/>
              <w:rPr>
                <w:sz w:val="10"/>
                <w:szCs w:val="10"/>
                <w:color w:val="auto"/>
              </w:rPr>
            </w:pPr>
          </w:p>
        </w:tc>
        <w:tc>
          <w:tcPr>
            <w:tcW w:w="11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19,461</w:t>
            </w:r>
          </w:p>
        </w:tc>
        <w:tc>
          <w:tcPr>
            <w:tcW w:w="1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2,783</w:t>
            </w:r>
          </w:p>
        </w:tc>
        <w:tc>
          <w:tcPr>
            <w:tcW w:w="100" w:type="dxa"/>
            <w:vAlign w:val="bottom"/>
          </w:tcPr>
          <w:p>
            <w:pPr>
              <w:spacing w:after="0"/>
              <w:rPr>
                <w:sz w:val="10"/>
                <w:szCs w:val="10"/>
                <w:color w:val="auto"/>
              </w:rPr>
            </w:pPr>
          </w:p>
        </w:tc>
      </w:tr>
      <w:tr>
        <w:trPr>
          <w:trHeight w:val="115"/>
        </w:trPr>
        <w:tc>
          <w:tcPr>
            <w:tcW w:w="4240" w:type="dxa"/>
            <w:vAlign w:val="bottom"/>
            <w:tcBorders>
              <w:bottom w:val="single" w:sz="8" w:color="CFF0FC"/>
            </w:tcBorders>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Income before income tax expense</w:t>
            </w:r>
          </w:p>
        </w:tc>
        <w:tc>
          <w:tcPr>
            <w:tcW w:w="10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430,398</w:t>
            </w:r>
          </w:p>
        </w:tc>
        <w:tc>
          <w:tcPr>
            <w:tcW w:w="100" w:type="dxa"/>
            <w:vAlign w:val="bottom"/>
            <w:tcBorders>
              <w:bottom w:val="single" w:sz="8" w:color="CFF0FC"/>
            </w:tcBorders>
            <w:shd w:val="clear" w:color="auto" w:fill="CFF0FC"/>
          </w:tcPr>
          <w:p>
            <w:pPr>
              <w:spacing w:after="0"/>
              <w:rPr>
                <w:sz w:val="10"/>
                <w:szCs w:val="10"/>
                <w:color w:val="auto"/>
              </w:rPr>
            </w:pPr>
          </w:p>
        </w:tc>
        <w:tc>
          <w:tcPr>
            <w:tcW w:w="10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266,007</w:t>
            </w:r>
          </w:p>
        </w:tc>
        <w:tc>
          <w:tcPr>
            <w:tcW w:w="10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rPr>
                <w:sz w:val="10"/>
                <w:szCs w:val="10"/>
                <w:color w:val="auto"/>
              </w:rPr>
            </w:pPr>
          </w:p>
        </w:tc>
        <w:tc>
          <w:tcPr>
            <w:tcW w:w="56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38,037</w:t>
            </w:r>
          </w:p>
        </w:tc>
        <w:tc>
          <w:tcPr>
            <w:tcW w:w="200" w:type="dxa"/>
            <w:vAlign w:val="bottom"/>
            <w:tcBorders>
              <w:bottom w:val="single" w:sz="8" w:color="CFF0FC"/>
            </w:tcBorders>
            <w:shd w:val="clear" w:color="auto" w:fill="CFF0FC"/>
          </w:tcPr>
          <w:p>
            <w:pPr>
              <w:spacing w:after="0"/>
              <w:rPr>
                <w:sz w:val="10"/>
                <w:szCs w:val="10"/>
                <w:color w:val="auto"/>
              </w:rPr>
            </w:pPr>
          </w:p>
        </w:tc>
        <w:tc>
          <w:tcPr>
            <w:tcW w:w="11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1,353,735</w:t>
            </w:r>
          </w:p>
        </w:tc>
        <w:tc>
          <w:tcPr>
            <w:tcW w:w="100" w:type="dxa"/>
            <w:vAlign w:val="bottom"/>
            <w:tcBorders>
              <w:bottom w:val="single" w:sz="8" w:color="CFF0FC"/>
            </w:tcBorders>
            <w:shd w:val="clear" w:color="auto" w:fill="CFF0FC"/>
          </w:tcPr>
          <w:p>
            <w:pPr>
              <w:spacing w:after="0"/>
              <w:rPr>
                <w:sz w:val="10"/>
                <w:szCs w:val="10"/>
                <w:color w:val="auto"/>
              </w:rPr>
            </w:pPr>
          </w:p>
        </w:tc>
        <w:tc>
          <w:tcPr>
            <w:tcW w:w="11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2,075,603</w:t>
            </w:r>
          </w:p>
        </w:tc>
        <w:tc>
          <w:tcPr>
            <w:tcW w:w="120" w:type="dxa"/>
            <w:vAlign w:val="bottom"/>
            <w:tcBorders>
              <w:bottom w:val="single" w:sz="8" w:color="CFF0FC"/>
            </w:tcBorders>
            <w:shd w:val="clear" w:color="auto" w:fill="CFF0FC"/>
          </w:tcPr>
          <w:p>
            <w:pPr>
              <w:spacing w:after="0"/>
              <w:rPr>
                <w:sz w:val="10"/>
                <w:szCs w:val="10"/>
                <w:color w:val="auto"/>
              </w:rPr>
            </w:pPr>
          </w:p>
        </w:tc>
        <w:tc>
          <w:tcPr>
            <w:tcW w:w="320" w:type="dxa"/>
            <w:vAlign w:val="bottom"/>
            <w:tcBorders>
              <w:bottom w:val="single" w:sz="8" w:color="auto"/>
            </w:tcBorders>
            <w:shd w:val="clear" w:color="auto" w:fill="CFF0FC"/>
          </w:tcPr>
          <w:p>
            <w:pPr>
              <w:spacing w:after="0"/>
              <w:rPr>
                <w:sz w:val="10"/>
                <w:szCs w:val="10"/>
                <w:color w:val="auto"/>
              </w:rPr>
            </w:pPr>
          </w:p>
        </w:tc>
        <w:tc>
          <w:tcPr>
            <w:tcW w:w="84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296,807</w:t>
            </w:r>
          </w:p>
        </w:tc>
        <w:tc>
          <w:tcPr>
            <w:tcW w:w="100" w:type="dxa"/>
            <w:vAlign w:val="bottom"/>
            <w:tcBorders>
              <w:bottom w:val="single" w:sz="8" w:color="CFF0FC"/>
            </w:tcBorders>
            <w:shd w:val="clear" w:color="auto" w:fill="CFF0FC"/>
          </w:tcPr>
          <w:p>
            <w:pPr>
              <w:spacing w:after="0"/>
              <w:rPr>
                <w:sz w:val="10"/>
                <w:szCs w:val="10"/>
                <w:color w:val="auto"/>
              </w:rPr>
            </w:pPr>
          </w:p>
        </w:tc>
      </w:tr>
      <w:tr>
        <w:trPr>
          <w:trHeight w:val="115"/>
        </w:trPr>
        <w:tc>
          <w:tcPr>
            <w:tcW w:w="4240" w:type="dxa"/>
            <w:vAlign w:val="bottom"/>
          </w:tcPr>
          <w:p>
            <w:pPr>
              <w:ind w:left="80"/>
              <w:spacing w:after="0" w:line="115" w:lineRule="exact"/>
              <w:rPr>
                <w:sz w:val="20"/>
                <w:szCs w:val="20"/>
                <w:color w:val="auto"/>
              </w:rPr>
            </w:pPr>
            <w:r>
              <w:rPr>
                <w:rFonts w:ascii="Times New Roman" w:cs="Times New Roman" w:eastAsia="Times New Roman" w:hAnsi="Times New Roman"/>
                <w:sz w:val="11"/>
                <w:szCs w:val="11"/>
                <w:color w:val="auto"/>
              </w:rPr>
              <w:t>Income tax expense</w:t>
            </w:r>
          </w:p>
        </w:tc>
        <w:tc>
          <w:tcPr>
            <w:tcW w:w="118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(67,649)</w:t>
            </w:r>
          </w:p>
        </w:tc>
        <w:tc>
          <w:tcPr>
            <w:tcW w:w="1180" w:type="dxa"/>
            <w:vAlign w:val="bottom"/>
            <w:gridSpan w:val="2"/>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(51,923)</w:t>
            </w:r>
          </w:p>
        </w:tc>
        <w:tc>
          <w:tcPr>
            <w:tcW w:w="200" w:type="dxa"/>
            <w:vAlign w:val="bottom"/>
          </w:tcPr>
          <w:p>
            <w:pPr>
              <w:spacing w:after="0"/>
              <w:rPr>
                <w:sz w:val="10"/>
                <w:szCs w:val="10"/>
                <w:color w:val="auto"/>
              </w:rPr>
            </w:pPr>
          </w:p>
        </w:tc>
        <w:tc>
          <w:tcPr>
            <w:tcW w:w="76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(7,425)</w:t>
            </w:r>
          </w:p>
        </w:tc>
        <w:tc>
          <w:tcPr>
            <w:tcW w:w="1200" w:type="dxa"/>
            <w:vAlign w:val="bottom"/>
            <w:gridSpan w:val="2"/>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(253,275)</w:t>
            </w:r>
          </w:p>
        </w:tc>
        <w:tc>
          <w:tcPr>
            <w:tcW w:w="122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(398,526)</w:t>
            </w:r>
          </w:p>
        </w:tc>
        <w:tc>
          <w:tcPr>
            <w:tcW w:w="320" w:type="dxa"/>
            <w:vAlign w:val="bottom"/>
          </w:tcPr>
          <w:p>
            <w:pPr>
              <w:spacing w:after="0"/>
              <w:rPr>
                <w:sz w:val="10"/>
                <w:szCs w:val="10"/>
                <w:color w:val="auto"/>
              </w:rPr>
            </w:pPr>
          </w:p>
        </w:tc>
        <w:tc>
          <w:tcPr>
            <w:tcW w:w="94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(56,988)</w:t>
            </w:r>
          </w:p>
        </w:tc>
      </w:tr>
      <w:tr>
        <w:trPr>
          <w:trHeight w:val="115"/>
        </w:trPr>
        <w:tc>
          <w:tcPr>
            <w:tcW w:w="4240" w:type="dxa"/>
            <w:vAlign w:val="bottom"/>
            <w:tcBorders>
              <w:bottom w:val="single" w:sz="8" w:color="CFF0FC"/>
            </w:tcBorders>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Net income</w:t>
            </w:r>
          </w:p>
        </w:tc>
        <w:tc>
          <w:tcPr>
            <w:tcW w:w="10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362,749</w:t>
            </w:r>
          </w:p>
        </w:tc>
        <w:tc>
          <w:tcPr>
            <w:tcW w:w="100" w:type="dxa"/>
            <w:vAlign w:val="bottom"/>
            <w:tcBorders>
              <w:bottom w:val="single" w:sz="8" w:color="CFF0FC"/>
            </w:tcBorders>
            <w:shd w:val="clear" w:color="auto" w:fill="CFF0FC"/>
          </w:tcPr>
          <w:p>
            <w:pPr>
              <w:spacing w:after="0"/>
              <w:rPr>
                <w:sz w:val="10"/>
                <w:szCs w:val="10"/>
                <w:color w:val="auto"/>
              </w:rPr>
            </w:pPr>
          </w:p>
        </w:tc>
        <w:tc>
          <w:tcPr>
            <w:tcW w:w="10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214,084</w:t>
            </w:r>
          </w:p>
        </w:tc>
        <w:tc>
          <w:tcPr>
            <w:tcW w:w="10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top w:val="single" w:sz="8" w:color="auto"/>
              <w:bottom w:val="single" w:sz="8" w:color="auto"/>
            </w:tcBorders>
            <w:shd w:val="clear" w:color="auto" w:fill="CFF0FC"/>
          </w:tcPr>
          <w:p>
            <w:pPr>
              <w:spacing w:after="0"/>
              <w:rPr>
                <w:sz w:val="10"/>
                <w:szCs w:val="10"/>
                <w:color w:val="auto"/>
              </w:rPr>
            </w:pPr>
          </w:p>
        </w:tc>
        <w:tc>
          <w:tcPr>
            <w:tcW w:w="5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30,612</w:t>
            </w:r>
          </w:p>
        </w:tc>
        <w:tc>
          <w:tcPr>
            <w:tcW w:w="200" w:type="dxa"/>
            <w:vAlign w:val="bottom"/>
            <w:tcBorders>
              <w:bottom w:val="single" w:sz="8" w:color="CFF0FC"/>
            </w:tcBorders>
            <w:shd w:val="clear" w:color="auto" w:fill="CFF0FC"/>
          </w:tcPr>
          <w:p>
            <w:pPr>
              <w:spacing w:after="0"/>
              <w:rPr>
                <w:sz w:val="10"/>
                <w:szCs w:val="10"/>
                <w:color w:val="auto"/>
              </w:rPr>
            </w:pPr>
          </w:p>
        </w:tc>
        <w:tc>
          <w:tcPr>
            <w:tcW w:w="11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1,100,460</w:t>
            </w:r>
          </w:p>
        </w:tc>
        <w:tc>
          <w:tcPr>
            <w:tcW w:w="100" w:type="dxa"/>
            <w:vAlign w:val="bottom"/>
            <w:tcBorders>
              <w:bottom w:val="single" w:sz="8" w:color="CFF0FC"/>
            </w:tcBorders>
            <w:shd w:val="clear" w:color="auto" w:fill="CFF0FC"/>
          </w:tcPr>
          <w:p>
            <w:pPr>
              <w:spacing w:after="0"/>
              <w:rPr>
                <w:sz w:val="10"/>
                <w:szCs w:val="10"/>
                <w:color w:val="auto"/>
              </w:rPr>
            </w:pPr>
          </w:p>
        </w:tc>
        <w:tc>
          <w:tcPr>
            <w:tcW w:w="11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1,677,077</w:t>
            </w:r>
          </w:p>
        </w:tc>
        <w:tc>
          <w:tcPr>
            <w:tcW w:w="120" w:type="dxa"/>
            <w:vAlign w:val="bottom"/>
            <w:tcBorders>
              <w:bottom w:val="single" w:sz="8" w:color="CFF0FC"/>
            </w:tcBorders>
            <w:shd w:val="clear" w:color="auto" w:fill="CFF0FC"/>
          </w:tcPr>
          <w:p>
            <w:pPr>
              <w:spacing w:after="0"/>
              <w:rPr>
                <w:sz w:val="10"/>
                <w:szCs w:val="10"/>
                <w:color w:val="auto"/>
              </w:rPr>
            </w:pPr>
          </w:p>
        </w:tc>
        <w:tc>
          <w:tcPr>
            <w:tcW w:w="320" w:type="dxa"/>
            <w:vAlign w:val="bottom"/>
            <w:tcBorders>
              <w:top w:val="single" w:sz="8" w:color="auto"/>
              <w:bottom w:val="single" w:sz="8" w:color="auto"/>
            </w:tcBorders>
            <w:shd w:val="clear" w:color="auto" w:fill="CFF0FC"/>
          </w:tcPr>
          <w:p>
            <w:pPr>
              <w:spacing w:after="0"/>
              <w:rPr>
                <w:sz w:val="10"/>
                <w:szCs w:val="10"/>
                <w:color w:val="auto"/>
              </w:rPr>
            </w:pPr>
          </w:p>
        </w:tc>
        <w:tc>
          <w:tcPr>
            <w:tcW w:w="8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239,819</w:t>
            </w:r>
          </w:p>
        </w:tc>
        <w:tc>
          <w:tcPr>
            <w:tcW w:w="100" w:type="dxa"/>
            <w:vAlign w:val="bottom"/>
            <w:tcBorders>
              <w:bottom w:val="single" w:sz="8" w:color="CFF0FC"/>
            </w:tcBorders>
            <w:shd w:val="clear" w:color="auto" w:fill="CFF0FC"/>
          </w:tcPr>
          <w:p>
            <w:pPr>
              <w:spacing w:after="0"/>
              <w:rPr>
                <w:sz w:val="10"/>
                <w:szCs w:val="10"/>
                <w:color w:val="auto"/>
              </w:rPr>
            </w:pPr>
          </w:p>
        </w:tc>
      </w:tr>
      <w:tr>
        <w:trPr>
          <w:trHeight w:val="115"/>
        </w:trPr>
        <w:tc>
          <w:tcPr>
            <w:tcW w:w="424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Net income attributable to ordinary shareholders of the Company</w:t>
            </w:r>
          </w:p>
        </w:tc>
        <w:tc>
          <w:tcPr>
            <w:tcW w:w="10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362,749</w:t>
            </w:r>
          </w:p>
        </w:tc>
        <w:tc>
          <w:tcPr>
            <w:tcW w:w="100" w:type="dxa"/>
            <w:vAlign w:val="bottom"/>
          </w:tcPr>
          <w:p>
            <w:pPr>
              <w:spacing w:after="0"/>
              <w:rPr>
                <w:sz w:val="10"/>
                <w:szCs w:val="10"/>
                <w:color w:val="auto"/>
              </w:rPr>
            </w:pPr>
          </w:p>
        </w:tc>
        <w:tc>
          <w:tcPr>
            <w:tcW w:w="10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214,084</w:t>
            </w:r>
          </w:p>
        </w:tc>
        <w:tc>
          <w:tcPr>
            <w:tcW w:w="1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30,612</w:t>
            </w:r>
          </w:p>
        </w:tc>
        <w:tc>
          <w:tcPr>
            <w:tcW w:w="200" w:type="dxa"/>
            <w:vAlign w:val="bottom"/>
          </w:tcPr>
          <w:p>
            <w:pPr>
              <w:spacing w:after="0"/>
              <w:rPr>
                <w:sz w:val="10"/>
                <w:szCs w:val="10"/>
                <w:color w:val="auto"/>
              </w:rPr>
            </w:pPr>
          </w:p>
        </w:tc>
        <w:tc>
          <w:tcPr>
            <w:tcW w:w="11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1,100,460</w:t>
            </w:r>
          </w:p>
        </w:tc>
        <w:tc>
          <w:tcPr>
            <w:tcW w:w="100" w:type="dxa"/>
            <w:vAlign w:val="bottom"/>
          </w:tcPr>
          <w:p>
            <w:pPr>
              <w:spacing w:after="0"/>
              <w:rPr>
                <w:sz w:val="10"/>
                <w:szCs w:val="10"/>
                <w:color w:val="auto"/>
              </w:rPr>
            </w:pPr>
          </w:p>
        </w:tc>
        <w:tc>
          <w:tcPr>
            <w:tcW w:w="11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1,677,077</w:t>
            </w:r>
          </w:p>
        </w:tc>
        <w:tc>
          <w:tcPr>
            <w:tcW w:w="1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239,819</w:t>
            </w:r>
          </w:p>
        </w:tc>
        <w:tc>
          <w:tcPr>
            <w:tcW w:w="100" w:type="dxa"/>
            <w:vAlign w:val="bottom"/>
          </w:tcPr>
          <w:p>
            <w:pPr>
              <w:spacing w:after="0"/>
              <w:rPr>
                <w:sz w:val="10"/>
                <w:szCs w:val="10"/>
                <w:color w:val="auto"/>
              </w:rPr>
            </w:pPr>
          </w:p>
        </w:tc>
      </w:tr>
      <w:tr>
        <w:trPr>
          <w:trHeight w:val="115"/>
        </w:trPr>
        <w:tc>
          <w:tcPr>
            <w:tcW w:w="4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42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Net income per ordinary share attributable to ordinary shareholders of the Company</w:t>
            </w: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2"/>
        </w:trPr>
        <w:tc>
          <w:tcPr>
            <w:tcW w:w="42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Basic</w:t>
            </w:r>
          </w:p>
        </w:tc>
        <w:tc>
          <w:tcPr>
            <w:tcW w:w="10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1.09</w:t>
            </w:r>
          </w:p>
        </w:tc>
        <w:tc>
          <w:tcPr>
            <w:tcW w:w="10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0.64</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0.09</w:t>
            </w:r>
          </w:p>
        </w:tc>
        <w:tc>
          <w:tcPr>
            <w:tcW w:w="200" w:type="dxa"/>
            <w:vAlign w:val="bottom"/>
          </w:tcPr>
          <w:p>
            <w:pPr>
              <w:spacing w:after="0"/>
              <w:rPr>
                <w:sz w:val="10"/>
                <w:szCs w:val="10"/>
                <w:color w:val="auto"/>
              </w:rPr>
            </w:pPr>
          </w:p>
        </w:tc>
        <w:tc>
          <w:tcPr>
            <w:tcW w:w="11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3.32</w:t>
            </w:r>
          </w:p>
        </w:tc>
        <w:tc>
          <w:tcPr>
            <w:tcW w:w="100" w:type="dxa"/>
            <w:vAlign w:val="bottom"/>
          </w:tcPr>
          <w:p>
            <w:pPr>
              <w:spacing w:after="0"/>
              <w:rPr>
                <w:sz w:val="10"/>
                <w:szCs w:val="10"/>
                <w:color w:val="auto"/>
              </w:rPr>
            </w:pPr>
          </w:p>
        </w:tc>
        <w:tc>
          <w:tcPr>
            <w:tcW w:w="11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4.95</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0.71</w:t>
            </w:r>
          </w:p>
        </w:tc>
        <w:tc>
          <w:tcPr>
            <w:tcW w:w="100" w:type="dxa"/>
            <w:vAlign w:val="bottom"/>
          </w:tcPr>
          <w:p>
            <w:pPr>
              <w:spacing w:after="0"/>
              <w:rPr>
                <w:sz w:val="10"/>
                <w:szCs w:val="10"/>
                <w:color w:val="auto"/>
              </w:rPr>
            </w:pPr>
          </w:p>
        </w:tc>
      </w:tr>
      <w:tr>
        <w:trPr>
          <w:trHeight w:val="122"/>
        </w:trPr>
        <w:tc>
          <w:tcPr>
            <w:tcW w:w="42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Diluted</w:t>
            </w:r>
          </w:p>
        </w:tc>
        <w:tc>
          <w:tcPr>
            <w:tcW w:w="10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1.03</w:t>
            </w: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0.62</w:t>
            </w: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0.09</w:t>
            </w:r>
          </w:p>
        </w:tc>
        <w:tc>
          <w:tcPr>
            <w:tcW w:w="200" w:type="dxa"/>
            <w:vAlign w:val="bottom"/>
            <w:shd w:val="clear" w:color="auto" w:fill="CFF0FC"/>
          </w:tcPr>
          <w:p>
            <w:pPr>
              <w:spacing w:after="0"/>
              <w:rPr>
                <w:sz w:val="10"/>
                <w:szCs w:val="10"/>
                <w:color w:val="auto"/>
              </w:rPr>
            </w:pPr>
          </w:p>
        </w:tc>
        <w:tc>
          <w:tcPr>
            <w:tcW w:w="11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3.24</w:t>
            </w:r>
          </w:p>
        </w:tc>
        <w:tc>
          <w:tcPr>
            <w:tcW w:w="100" w:type="dxa"/>
            <w:vAlign w:val="bottom"/>
            <w:shd w:val="clear" w:color="auto" w:fill="CFF0FC"/>
          </w:tcPr>
          <w:p>
            <w:pPr>
              <w:spacing w:after="0"/>
              <w:rPr>
                <w:sz w:val="10"/>
                <w:szCs w:val="10"/>
                <w:color w:val="auto"/>
              </w:rPr>
            </w:pPr>
          </w:p>
        </w:tc>
        <w:tc>
          <w:tcPr>
            <w:tcW w:w="11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4.72</w:t>
            </w: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0.68</w:t>
            </w:r>
          </w:p>
        </w:tc>
        <w:tc>
          <w:tcPr>
            <w:tcW w:w="100" w:type="dxa"/>
            <w:vAlign w:val="bottom"/>
            <w:shd w:val="clear" w:color="auto" w:fill="CFF0FC"/>
          </w:tcPr>
          <w:p>
            <w:pPr>
              <w:spacing w:after="0"/>
              <w:rPr>
                <w:sz w:val="10"/>
                <w:szCs w:val="10"/>
                <w:color w:val="auto"/>
              </w:rPr>
            </w:pPr>
          </w:p>
        </w:tc>
      </w:tr>
      <w:tr>
        <w:trPr>
          <w:trHeight w:val="243"/>
        </w:trPr>
        <w:tc>
          <w:tcPr>
            <w:tcW w:w="42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Net income per ADS attributable to ordinary shareholders of the Company</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21"/>
        </w:trPr>
        <w:tc>
          <w:tcPr>
            <w:tcW w:w="42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Basic</w:t>
            </w:r>
          </w:p>
        </w:tc>
        <w:tc>
          <w:tcPr>
            <w:tcW w:w="10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2.18</w:t>
            </w: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1.27</w:t>
            </w: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0.18</w:t>
            </w:r>
          </w:p>
        </w:tc>
        <w:tc>
          <w:tcPr>
            <w:tcW w:w="200" w:type="dxa"/>
            <w:vAlign w:val="bottom"/>
            <w:shd w:val="clear" w:color="auto" w:fill="CFF0FC"/>
          </w:tcPr>
          <w:p>
            <w:pPr>
              <w:spacing w:after="0"/>
              <w:rPr>
                <w:sz w:val="10"/>
                <w:szCs w:val="10"/>
                <w:color w:val="auto"/>
              </w:rPr>
            </w:pPr>
          </w:p>
        </w:tc>
        <w:tc>
          <w:tcPr>
            <w:tcW w:w="11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6.64</w:t>
            </w:r>
          </w:p>
        </w:tc>
        <w:tc>
          <w:tcPr>
            <w:tcW w:w="100" w:type="dxa"/>
            <w:vAlign w:val="bottom"/>
            <w:shd w:val="clear" w:color="auto" w:fill="CFF0FC"/>
          </w:tcPr>
          <w:p>
            <w:pPr>
              <w:spacing w:after="0"/>
              <w:rPr>
                <w:sz w:val="10"/>
                <w:szCs w:val="10"/>
                <w:color w:val="auto"/>
              </w:rPr>
            </w:pPr>
          </w:p>
        </w:tc>
        <w:tc>
          <w:tcPr>
            <w:tcW w:w="11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9.90</w:t>
            </w: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1.42</w:t>
            </w:r>
          </w:p>
        </w:tc>
        <w:tc>
          <w:tcPr>
            <w:tcW w:w="100" w:type="dxa"/>
            <w:vAlign w:val="bottom"/>
            <w:shd w:val="clear" w:color="auto" w:fill="CFF0FC"/>
          </w:tcPr>
          <w:p>
            <w:pPr>
              <w:spacing w:after="0"/>
              <w:rPr>
                <w:sz w:val="10"/>
                <w:szCs w:val="10"/>
                <w:color w:val="auto"/>
              </w:rPr>
            </w:pPr>
          </w:p>
        </w:tc>
      </w:tr>
      <w:tr>
        <w:trPr>
          <w:trHeight w:val="140"/>
        </w:trPr>
        <w:tc>
          <w:tcPr>
            <w:tcW w:w="4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Diluted</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w:t>
            </w: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0.18</w:t>
            </w:r>
          </w:p>
        </w:tc>
        <w:tc>
          <w:tcPr>
            <w:tcW w:w="2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6.49</w:t>
            </w: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9.45</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w:t>
            </w:r>
          </w:p>
        </w:tc>
        <w:tc>
          <w:tcPr>
            <w:tcW w:w="100" w:type="dxa"/>
            <w:vAlign w:val="bottom"/>
          </w:tcPr>
          <w:p>
            <w:pPr>
              <w:spacing w:after="0"/>
              <w:rPr>
                <w:sz w:val="12"/>
                <w:szCs w:val="12"/>
                <w:color w:val="auto"/>
              </w:rPr>
            </w:pPr>
          </w:p>
        </w:tc>
      </w:tr>
      <w:tr>
        <w:trPr>
          <w:trHeight w:val="103"/>
        </w:trPr>
        <w:tc>
          <w:tcPr>
            <w:tcW w:w="4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21"/>
        </w:trPr>
        <w:tc>
          <w:tcPr>
            <w:tcW w:w="42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Weighted average ordinary shares outstanding</w:t>
            </w: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2"/>
        </w:trPr>
        <w:tc>
          <w:tcPr>
            <w:tcW w:w="42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Basic</w:t>
            </w:r>
          </w:p>
        </w:tc>
        <w:tc>
          <w:tcPr>
            <w:tcW w:w="10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333,182,976</w:t>
            </w:r>
          </w:p>
        </w:tc>
        <w:tc>
          <w:tcPr>
            <w:tcW w:w="10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336,234,641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4"/>
              </w:rPr>
              <w:t>336,234,641</w:t>
            </w:r>
          </w:p>
        </w:tc>
        <w:tc>
          <w:tcPr>
            <w:tcW w:w="200" w:type="dxa"/>
            <w:vAlign w:val="bottom"/>
          </w:tcPr>
          <w:p>
            <w:pPr>
              <w:spacing w:after="0"/>
              <w:rPr>
                <w:sz w:val="10"/>
                <w:szCs w:val="10"/>
                <w:color w:val="auto"/>
              </w:rPr>
            </w:pPr>
          </w:p>
        </w:tc>
        <w:tc>
          <w:tcPr>
            <w:tcW w:w="11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331,403,936</w:t>
            </w:r>
          </w:p>
        </w:tc>
        <w:tc>
          <w:tcPr>
            <w:tcW w:w="100" w:type="dxa"/>
            <w:vAlign w:val="bottom"/>
          </w:tcPr>
          <w:p>
            <w:pPr>
              <w:spacing w:after="0"/>
              <w:rPr>
                <w:sz w:val="10"/>
                <w:szCs w:val="10"/>
                <w:color w:val="auto"/>
              </w:rPr>
            </w:pPr>
          </w:p>
        </w:tc>
        <w:tc>
          <w:tcPr>
            <w:tcW w:w="11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338,943,939</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338,943,939</w:t>
            </w:r>
          </w:p>
        </w:tc>
        <w:tc>
          <w:tcPr>
            <w:tcW w:w="100" w:type="dxa"/>
            <w:vAlign w:val="bottom"/>
          </w:tcPr>
          <w:p>
            <w:pPr>
              <w:spacing w:after="0"/>
              <w:rPr>
                <w:sz w:val="10"/>
                <w:szCs w:val="10"/>
                <w:color w:val="auto"/>
              </w:rPr>
            </w:pPr>
          </w:p>
        </w:tc>
      </w:tr>
      <w:tr>
        <w:trPr>
          <w:trHeight w:val="121"/>
        </w:trPr>
        <w:tc>
          <w:tcPr>
            <w:tcW w:w="42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Diluted</w:t>
            </w:r>
          </w:p>
        </w:tc>
        <w:tc>
          <w:tcPr>
            <w:tcW w:w="10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351,577,582</w:t>
            </w: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346,075,067</w:t>
            </w: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94"/>
              </w:rPr>
              <w:t>346,075,067</w:t>
            </w:r>
          </w:p>
        </w:tc>
        <w:tc>
          <w:tcPr>
            <w:tcW w:w="200" w:type="dxa"/>
            <w:vAlign w:val="bottom"/>
            <w:shd w:val="clear" w:color="auto" w:fill="CFF0FC"/>
          </w:tcPr>
          <w:p>
            <w:pPr>
              <w:spacing w:after="0"/>
              <w:rPr>
                <w:sz w:val="10"/>
                <w:szCs w:val="10"/>
                <w:color w:val="auto"/>
              </w:rPr>
            </w:pPr>
          </w:p>
        </w:tc>
        <w:tc>
          <w:tcPr>
            <w:tcW w:w="11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339,261,349</w:t>
            </w:r>
          </w:p>
        </w:tc>
        <w:tc>
          <w:tcPr>
            <w:tcW w:w="100" w:type="dxa"/>
            <w:vAlign w:val="bottom"/>
            <w:shd w:val="clear" w:color="auto" w:fill="CFF0FC"/>
          </w:tcPr>
          <w:p>
            <w:pPr>
              <w:spacing w:after="0"/>
              <w:rPr>
                <w:sz w:val="10"/>
                <w:szCs w:val="10"/>
                <w:color w:val="auto"/>
              </w:rPr>
            </w:pPr>
          </w:p>
        </w:tc>
        <w:tc>
          <w:tcPr>
            <w:tcW w:w="11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355,089,877</w:t>
            </w: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355,089,877</w:t>
            </w:r>
          </w:p>
        </w:tc>
        <w:tc>
          <w:tcPr>
            <w:tcW w:w="100" w:type="dxa"/>
            <w:vAlign w:val="bottom"/>
            <w:shd w:val="clear" w:color="auto" w:fill="CFF0FC"/>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-2802255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-2802255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-2802255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-2802255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-2802255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-2802255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-2167890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-2167890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-2167890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-2167890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-2167890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-1996440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-1996440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-1996440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-1996440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-1996440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-1679575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-1679575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-1679575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-1679575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-1679575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-1679575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-1190625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-1190625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-1190625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-1190625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-1190625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-1019175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-1019175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-1019175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-1019175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-1019175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11</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780" w:type="dxa"/>
            <w:vAlign w:val="bottom"/>
            <w:gridSpan w:val="7"/>
          </w:tcPr>
          <w:p>
            <w:pPr>
              <w:ind w:left="440"/>
              <w:spacing w:after="0"/>
              <w:rPr>
                <w:sz w:val="20"/>
                <w:szCs w:val="20"/>
                <w:color w:val="auto"/>
              </w:rPr>
            </w:pPr>
            <w:r>
              <w:rPr>
                <w:rFonts w:ascii="Times New Roman" w:cs="Times New Roman" w:eastAsia="Times New Roman" w:hAnsi="Times New Roman"/>
                <w:sz w:val="14"/>
                <w:szCs w:val="14"/>
                <w:b w:val="1"/>
                <w:bCs w:val="1"/>
                <w:color w:val="auto"/>
              </w:rPr>
              <w:t>For the Three Months Ended December 31,</w:t>
            </w:r>
          </w:p>
        </w:tc>
        <w:tc>
          <w:tcPr>
            <w:tcW w:w="2800" w:type="dxa"/>
            <w:vAlign w:val="bottom"/>
            <w:gridSpan w:val="5"/>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860" w:type="dxa"/>
            <w:vAlign w:val="bottom"/>
            <w:vMerge w:val="continue"/>
          </w:tcPr>
          <w:p>
            <w:pPr>
              <w:spacing w:after="0"/>
              <w:rPr>
                <w:sz w:val="15"/>
                <w:szCs w:val="15"/>
                <w:color w:val="auto"/>
              </w:rPr>
            </w:pPr>
          </w:p>
        </w:tc>
        <w:tc>
          <w:tcPr>
            <w:tcW w:w="118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5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1180" w:type="dxa"/>
            <w:vAlign w:val="bottom"/>
            <w:tcBorders>
              <w:top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c>
          <w:tcPr>
            <w:tcW w:w="1440" w:type="dxa"/>
            <w:vAlign w:val="bottom"/>
            <w:tcBorders>
              <w:top w:val="single" w:sz="8" w:color="auto"/>
            </w:tcBorders>
            <w:gridSpan w:val="3"/>
          </w:tcPr>
          <w:p>
            <w:pPr>
              <w:jc w:val="right"/>
              <w:ind w:right="7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40" w:type="dxa"/>
            <w:vAlign w:val="bottom"/>
            <w:tcBorders>
              <w:top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1100" w:type="dxa"/>
            <w:vAlign w:val="bottom"/>
            <w:tcBorders>
              <w:top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c>
          <w:tcPr>
            <w:tcW w:w="1580" w:type="dxa"/>
            <w:vAlign w:val="bottom"/>
            <w:tcBorders>
              <w:top w:val="single" w:sz="8" w:color="auto"/>
            </w:tcBorders>
            <w:gridSpan w:val="3"/>
          </w:tcPr>
          <w:p>
            <w:pPr>
              <w:jc w:val="center"/>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700" w:type="dxa"/>
            <w:vAlign w:val="bottom"/>
            <w:tcBorders>
              <w:top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362,749</w:t>
            </w: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214,084</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30,612</w:t>
            </w:r>
          </w:p>
        </w:tc>
        <w:tc>
          <w:tcPr>
            <w:tcW w:w="2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1,100,460</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1,677,077</w:t>
            </w: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239,819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 net of nil tax</w:t>
            </w: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642</w:t>
            </w: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(1,297)</w:t>
            </w:r>
          </w:p>
        </w:tc>
        <w:tc>
          <w:tcPr>
            <w:tcW w:w="2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(185)</w:t>
            </w:r>
          </w:p>
        </w:tc>
        <w:tc>
          <w:tcPr>
            <w:tcW w:w="12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(16,014)</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1,962</w:t>
            </w: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comprehensive income</w:t>
            </w: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363,391</w:t>
            </w:r>
          </w:p>
        </w:tc>
        <w:tc>
          <w:tcPr>
            <w:tcW w:w="120" w:type="dxa"/>
            <w:vAlign w:val="bottom"/>
            <w:tcBorders>
              <w:top w:val="single" w:sz="8" w:color="CFF0FC"/>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212,787</w:t>
            </w:r>
          </w:p>
        </w:tc>
        <w:tc>
          <w:tcPr>
            <w:tcW w:w="100" w:type="dxa"/>
            <w:vAlign w:val="bottom"/>
            <w:tcBorders>
              <w:top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30,427</w:t>
            </w:r>
          </w:p>
        </w:tc>
        <w:tc>
          <w:tcPr>
            <w:tcW w:w="200" w:type="dxa"/>
            <w:vAlign w:val="bottom"/>
            <w:tcBorders>
              <w:top w:val="single" w:sz="8" w:color="CFF0FC"/>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1,084,447</w:t>
            </w:r>
          </w:p>
        </w:tc>
        <w:tc>
          <w:tcPr>
            <w:tcW w:w="120" w:type="dxa"/>
            <w:vAlign w:val="bottom"/>
            <w:tcBorders>
              <w:top w:val="single" w:sz="8" w:color="CFF0FC"/>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1,679,039</w:t>
            </w:r>
          </w:p>
        </w:tc>
        <w:tc>
          <w:tcPr>
            <w:tcW w:w="100" w:type="dxa"/>
            <w:vAlign w:val="bottom"/>
            <w:tcBorders>
              <w:top w:val="single" w:sz="8" w:color="CFF0FC"/>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240,100</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86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Total comprehensive income attributable to ordinary</w:t>
            </w: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363,391</w:t>
            </w:r>
          </w:p>
        </w:tc>
        <w:tc>
          <w:tcPr>
            <w:tcW w:w="1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212,787</w:t>
            </w:r>
          </w:p>
        </w:tc>
        <w:tc>
          <w:tcPr>
            <w:tcW w:w="1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30,427</w:t>
            </w:r>
          </w:p>
        </w:tc>
        <w:tc>
          <w:tcPr>
            <w:tcW w:w="20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1,084,447</w:t>
            </w:r>
          </w:p>
        </w:tc>
        <w:tc>
          <w:tcPr>
            <w:tcW w:w="12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1,679,039</w:t>
            </w: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240,100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860" w:type="dxa"/>
            <w:vAlign w:val="bottom"/>
            <w:tcBorders>
              <w:bottom w:val="single" w:sz="8" w:color="CFF0FC"/>
            </w:tcBorders>
            <w:shd w:val="clear" w:color="auto" w:fill="CFF0FC"/>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 of the Company</w:t>
            </w:r>
          </w:p>
        </w:tc>
        <w:tc>
          <w:tcPr>
            <w:tcW w:w="1180" w:type="dxa"/>
            <w:vAlign w:val="bottom"/>
            <w:tcBorders>
              <w:bottom w:val="single" w:sz="8" w:color="CFF0FC"/>
            </w:tcBorders>
            <w:vMerge w:val="continue"/>
            <w:shd w:val="clear" w:color="auto" w:fill="CFF0FC"/>
          </w:tcPr>
          <w:p>
            <w:pPr>
              <w:spacing w:after="0"/>
              <w:rPr>
                <w:sz w:val="13"/>
                <w:szCs w:val="13"/>
                <w:color w:val="auto"/>
              </w:rPr>
            </w:pPr>
          </w:p>
        </w:tc>
        <w:tc>
          <w:tcPr>
            <w:tcW w:w="1200" w:type="dxa"/>
            <w:vAlign w:val="bottom"/>
            <w:tcBorders>
              <w:bottom w:val="single" w:sz="8" w:color="CFF0FC"/>
            </w:tcBorders>
            <w:gridSpan w:val="2"/>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vMerge w:val="continue"/>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1100" w:type="dxa"/>
            <w:vAlign w:val="bottom"/>
            <w:tcBorders>
              <w:bottom w:val="single" w:sz="8" w:color="CFF0FC"/>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100" w:type="dxa"/>
            <w:vAlign w:val="bottom"/>
            <w:tcBorders>
              <w:bottom w:val="single" w:sz="8" w:color="CFF0FC"/>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-299720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-299720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-299720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-299720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-299720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12</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LexinFintech Holdings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Reconciliations of GAAP and Non-GAAP Results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80" w:type="dxa"/>
            <w:vAlign w:val="bottom"/>
          </w:tcPr>
          <w:p>
            <w:pPr>
              <w:spacing w:after="0"/>
              <w:rPr>
                <w:sz w:val="12"/>
                <w:szCs w:val="12"/>
                <w:color w:val="auto"/>
              </w:rPr>
            </w:pPr>
          </w:p>
        </w:tc>
        <w:tc>
          <w:tcPr>
            <w:tcW w:w="3520" w:type="dxa"/>
            <w:vAlign w:val="bottom"/>
            <w:gridSpan w:val="6"/>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rPr>
              <w:t>For the Three Months Ended December 31,</w:t>
            </w:r>
          </w:p>
        </w:tc>
        <w:tc>
          <w:tcPr>
            <w:tcW w:w="200" w:type="dxa"/>
            <w:vAlign w:val="bottom"/>
          </w:tcPr>
          <w:p>
            <w:pPr>
              <w:spacing w:after="0"/>
              <w:rPr>
                <w:sz w:val="12"/>
                <w:szCs w:val="12"/>
                <w:color w:val="auto"/>
              </w:rPr>
            </w:pPr>
          </w:p>
        </w:tc>
        <w:tc>
          <w:tcPr>
            <w:tcW w:w="2760" w:type="dxa"/>
            <w:vAlign w:val="bottom"/>
            <w:gridSpan w:val="5"/>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8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 thousands, except for share and per share data)</w:t>
            </w:r>
          </w:p>
        </w:tc>
        <w:tc>
          <w:tcPr>
            <w:tcW w:w="1100" w:type="dxa"/>
            <w:vAlign w:val="bottom"/>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2025</w:t>
            </w:r>
          </w:p>
        </w:tc>
        <w:tc>
          <w:tcPr>
            <w:tcW w:w="840" w:type="dxa"/>
            <w:vAlign w:val="bottom"/>
          </w:tcPr>
          <w:p>
            <w:pPr>
              <w:spacing w:after="0"/>
              <w:rPr>
                <w:sz w:val="13"/>
                <w:szCs w:val="13"/>
                <w:color w:val="auto"/>
              </w:rPr>
            </w:pPr>
          </w:p>
        </w:tc>
        <w:tc>
          <w:tcPr>
            <w:tcW w:w="1280" w:type="dxa"/>
            <w:vAlign w:val="bottom"/>
            <w:gridSpan w:val="2"/>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80" w:type="dxa"/>
            <w:vAlign w:val="bottom"/>
            <w:gridSpan w:val="4"/>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2025</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8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Reconciliation of Adjusted net income attributable to ordinary</w:t>
            </w:r>
          </w:p>
        </w:tc>
        <w:tc>
          <w:tcPr>
            <w:tcW w:w="1100" w:type="dxa"/>
            <w:vAlign w:val="bottom"/>
            <w:tcBorders>
              <w:top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3"/>
                <w:szCs w:val="13"/>
                <w:color w:val="auto"/>
              </w:rPr>
            </w:pPr>
          </w:p>
        </w:tc>
        <w:tc>
          <w:tcPr>
            <w:tcW w:w="1440" w:type="dxa"/>
            <w:vAlign w:val="bottom"/>
            <w:tcBorders>
              <w:top w:val="single" w:sz="8" w:color="auto"/>
            </w:tcBorders>
            <w:gridSpan w:val="3"/>
          </w:tcPr>
          <w:p>
            <w:pPr>
              <w:jc w:val="right"/>
              <w:ind w:right="760"/>
              <w:spacing w:after="0"/>
              <w:rPr>
                <w:sz w:val="20"/>
                <w:szCs w:val="20"/>
                <w:color w:val="auto"/>
              </w:rPr>
            </w:pPr>
            <w:r>
              <w:rPr>
                <w:rFonts w:ascii="Times New Roman" w:cs="Times New Roman" w:eastAsia="Times New Roman" w:hAnsi="Times New Roman"/>
                <w:sz w:val="13"/>
                <w:szCs w:val="13"/>
                <w:b w:val="1"/>
                <w:bCs w:val="1"/>
                <w:color w:val="auto"/>
              </w:rPr>
              <w:t>RMB</w:t>
            </w:r>
          </w:p>
        </w:tc>
        <w:tc>
          <w:tcPr>
            <w:tcW w:w="840" w:type="dxa"/>
            <w:vAlign w:val="bottom"/>
            <w:tcBorders>
              <w:top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US$</w:t>
            </w:r>
          </w:p>
        </w:tc>
        <w:tc>
          <w:tcPr>
            <w:tcW w:w="200" w:type="dxa"/>
            <w:vAlign w:val="bottom"/>
          </w:tcPr>
          <w:p>
            <w:pPr>
              <w:spacing w:after="0"/>
              <w:rPr>
                <w:sz w:val="13"/>
                <w:szCs w:val="13"/>
                <w:color w:val="auto"/>
              </w:rPr>
            </w:pPr>
          </w:p>
        </w:tc>
        <w:tc>
          <w:tcPr>
            <w:tcW w:w="1080" w:type="dxa"/>
            <w:vAlign w:val="bottom"/>
            <w:tcBorders>
              <w:top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RMB</w:t>
            </w:r>
          </w:p>
        </w:tc>
        <w:tc>
          <w:tcPr>
            <w:tcW w:w="120" w:type="dxa"/>
            <w:vAlign w:val="bottom"/>
          </w:tcPr>
          <w:p>
            <w:pPr>
              <w:spacing w:after="0"/>
              <w:rPr>
                <w:sz w:val="13"/>
                <w:szCs w:val="13"/>
                <w:color w:val="auto"/>
              </w:rPr>
            </w:pPr>
          </w:p>
        </w:tc>
        <w:tc>
          <w:tcPr>
            <w:tcW w:w="1560" w:type="dxa"/>
            <w:vAlign w:val="bottom"/>
            <w:tcBorders>
              <w:top w:val="single" w:sz="8" w:color="auto"/>
            </w:tcBorders>
            <w:gridSpan w:val="3"/>
          </w:tcPr>
          <w:p>
            <w:pPr>
              <w:jc w:val="right"/>
              <w:ind w:right="880"/>
              <w:spacing w:after="0"/>
              <w:rPr>
                <w:sz w:val="20"/>
                <w:szCs w:val="20"/>
                <w:color w:val="auto"/>
              </w:rPr>
            </w:pPr>
            <w:r>
              <w:rPr>
                <w:rFonts w:ascii="Times New Roman" w:cs="Times New Roman" w:eastAsia="Times New Roman" w:hAnsi="Times New Roman"/>
                <w:sz w:val="13"/>
                <w:szCs w:val="13"/>
                <w:b w:val="1"/>
                <w:bCs w:val="1"/>
                <w:color w:val="auto"/>
              </w:rPr>
              <w:t>RMB</w:t>
            </w:r>
          </w:p>
        </w:tc>
        <w:tc>
          <w:tcPr>
            <w:tcW w:w="780" w:type="dxa"/>
            <w:vAlign w:val="bottom"/>
            <w:tcBorders>
              <w:top w:val="single" w:sz="8" w:color="auto"/>
            </w:tcBorders>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388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8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shareholders of the Company to Net income attributable to ordinary</w:t>
            </w: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8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shareholders of the Company</w:t>
            </w: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Net income attributable to ordinary shareholders of the Company</w:t>
            </w:r>
          </w:p>
        </w:tc>
        <w:tc>
          <w:tcPr>
            <w:tcW w:w="11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362,749</w:t>
            </w:r>
          </w:p>
        </w:tc>
        <w:tc>
          <w:tcPr>
            <w:tcW w:w="12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214,084</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30,612</w:t>
            </w:r>
          </w:p>
        </w:tc>
        <w:tc>
          <w:tcPr>
            <w:tcW w:w="12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1,100,460</w:t>
            </w:r>
          </w:p>
        </w:tc>
        <w:tc>
          <w:tcPr>
            <w:tcW w:w="12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1,677,077</w:t>
            </w: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239,819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Add: Share-based compensation expenses</w:t>
            </w:r>
          </w:p>
        </w:tc>
        <w:tc>
          <w:tcPr>
            <w:tcW w:w="1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27,244</w:t>
            </w:r>
          </w:p>
        </w:tc>
        <w:tc>
          <w:tcPr>
            <w:tcW w:w="1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21,119</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3,020</w:t>
            </w:r>
          </w:p>
        </w:tc>
        <w:tc>
          <w:tcPr>
            <w:tcW w:w="12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94,623</w:t>
            </w:r>
          </w:p>
        </w:tc>
        <w:tc>
          <w:tcPr>
            <w:tcW w:w="1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96,175</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13,753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Investment loss</w:t>
            </w:r>
          </w:p>
        </w:tc>
        <w:tc>
          <w:tcPr>
            <w:tcW w:w="11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543</w:t>
            </w:r>
          </w:p>
        </w:tc>
        <w:tc>
          <w:tcPr>
            <w:tcW w:w="12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3,503</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501</w:t>
            </w:r>
          </w:p>
        </w:tc>
        <w:tc>
          <w:tcPr>
            <w:tcW w:w="12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2,417</w:t>
            </w:r>
          </w:p>
        </w:tc>
        <w:tc>
          <w:tcPr>
            <w:tcW w:w="12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21,903</w:t>
            </w: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3,132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880" w:type="dxa"/>
            <w:vAlign w:val="bottom"/>
            <w:tcBorders>
              <w:top w:val="single" w:sz="8" w:color="CFF0FC"/>
            </w:tcBorders>
          </w:tcPr>
          <w:p>
            <w:pPr>
              <w:ind w:left="40"/>
              <w:spacing w:after="0" w:line="109" w:lineRule="exact"/>
              <w:rPr>
                <w:sz w:val="20"/>
                <w:szCs w:val="20"/>
                <w:color w:val="auto"/>
              </w:rPr>
            </w:pPr>
            <w:r>
              <w:rPr>
                <w:rFonts w:ascii="Times New Roman" w:cs="Times New Roman" w:eastAsia="Times New Roman" w:hAnsi="Times New Roman"/>
                <w:sz w:val="12"/>
                <w:szCs w:val="12"/>
                <w:b w:val="1"/>
                <w:bCs w:val="1"/>
                <w:color w:val="auto"/>
              </w:rPr>
              <w:t>Adjusted net income attributable to ordinary shareholders of the</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390,536</w:t>
            </w:r>
          </w:p>
        </w:tc>
        <w:tc>
          <w:tcPr>
            <w:tcW w:w="140" w:type="dxa"/>
            <w:vAlign w:val="bottom"/>
            <w:tcBorders>
              <w:top w:val="single" w:sz="8" w:color="CFF0FC"/>
            </w:tcBorders>
          </w:tcPr>
          <w:p>
            <w:pPr>
              <w:spacing w:after="0"/>
              <w:rPr>
                <w:sz w:val="9"/>
                <w:szCs w:val="9"/>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238,706</w:t>
            </w:r>
          </w:p>
        </w:tc>
        <w:tc>
          <w:tcPr>
            <w:tcW w:w="120" w:type="dxa"/>
            <w:vAlign w:val="bottom"/>
            <w:tcBorders>
              <w:top w:val="single" w:sz="8" w:color="CFF0FC"/>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34,133</w:t>
            </w:r>
          </w:p>
        </w:tc>
        <w:tc>
          <w:tcPr>
            <w:tcW w:w="200" w:type="dxa"/>
            <w:vAlign w:val="bottom"/>
            <w:tcBorders>
              <w:top w:val="single" w:sz="8" w:color="CFF0FC"/>
            </w:tcBorders>
          </w:tcPr>
          <w:p>
            <w:pPr>
              <w:spacing w:after="0"/>
              <w:rPr>
                <w:sz w:val="9"/>
                <w:szCs w:val="9"/>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1,203,195</w:t>
            </w:r>
          </w:p>
        </w:tc>
        <w:tc>
          <w:tcPr>
            <w:tcW w:w="120" w:type="dxa"/>
            <w:vAlign w:val="bottom"/>
            <w:tcBorders>
              <w:top w:val="single" w:sz="8" w:color="CFF0FC"/>
            </w:tcBorders>
          </w:tcPr>
          <w:p>
            <w:pPr>
              <w:spacing w:after="0"/>
              <w:rPr>
                <w:sz w:val="9"/>
                <w:szCs w:val="9"/>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1,795,155</w:t>
            </w:r>
          </w:p>
        </w:tc>
        <w:tc>
          <w:tcPr>
            <w:tcW w:w="100" w:type="dxa"/>
            <w:vAlign w:val="bottom"/>
            <w:tcBorders>
              <w:top w:val="single" w:sz="8" w:color="CFF0FC"/>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256,704</w:t>
            </w: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880" w:type="dxa"/>
            <w:vAlign w:val="bottom"/>
          </w:tcPr>
          <w:p>
            <w:pPr>
              <w:ind w:left="40"/>
              <w:spacing w:after="0" w:line="109" w:lineRule="exact"/>
              <w:rPr>
                <w:sz w:val="20"/>
                <w:szCs w:val="20"/>
                <w:color w:val="auto"/>
              </w:rPr>
            </w:pPr>
            <w:r>
              <w:rPr>
                <w:rFonts w:ascii="Times New Roman" w:cs="Times New Roman" w:eastAsia="Times New Roman" w:hAnsi="Times New Roman"/>
                <w:sz w:val="12"/>
                <w:szCs w:val="12"/>
                <w:b w:val="1"/>
                <w:bCs w:val="1"/>
                <w:color w:val="auto"/>
              </w:rPr>
              <w:t>Company</w:t>
            </w:r>
          </w:p>
        </w:tc>
        <w:tc>
          <w:tcPr>
            <w:tcW w:w="1100" w:type="dxa"/>
            <w:vAlign w:val="bottom"/>
            <w:tcBorders>
              <w:bottom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Borders>
              <w:bottom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88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880" w:type="dxa"/>
            <w:vAlign w:val="bottom"/>
          </w:tcPr>
          <w:p>
            <w:pPr>
              <w:ind w:left="40"/>
              <w:spacing w:after="0" w:line="115" w:lineRule="exact"/>
              <w:rPr>
                <w:sz w:val="20"/>
                <w:szCs w:val="20"/>
                <w:color w:val="auto"/>
              </w:rPr>
            </w:pPr>
            <w:r>
              <w:rPr>
                <w:rFonts w:ascii="Times New Roman" w:cs="Times New Roman" w:eastAsia="Times New Roman" w:hAnsi="Times New Roman"/>
                <w:sz w:val="13"/>
                <w:szCs w:val="13"/>
                <w:b w:val="1"/>
                <w:bCs w:val="1"/>
                <w:color w:val="auto"/>
              </w:rPr>
              <w:t>Adjusted net income per ordinary share attributable to ordinary</w:t>
            </w: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8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shareholders of the Company</w:t>
            </w: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Basic</w:t>
            </w:r>
          </w:p>
        </w:tc>
        <w:tc>
          <w:tcPr>
            <w:tcW w:w="11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1.17</w:t>
            </w:r>
          </w:p>
        </w:tc>
        <w:tc>
          <w:tcPr>
            <w:tcW w:w="12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0.71</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0.10</w:t>
            </w:r>
          </w:p>
        </w:tc>
        <w:tc>
          <w:tcPr>
            <w:tcW w:w="12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3.63</w:t>
            </w:r>
          </w:p>
        </w:tc>
        <w:tc>
          <w:tcPr>
            <w:tcW w:w="12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5.30</w:t>
            </w: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0.76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Diluted</w:t>
            </w:r>
          </w:p>
        </w:tc>
        <w:tc>
          <w:tcPr>
            <w:tcW w:w="1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1.11</w:t>
            </w:r>
          </w:p>
        </w:tc>
        <w:tc>
          <w:tcPr>
            <w:tcW w:w="1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0.69</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0.10</w:t>
            </w:r>
          </w:p>
        </w:tc>
        <w:tc>
          <w:tcPr>
            <w:tcW w:w="12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3.55</w:t>
            </w:r>
          </w:p>
        </w:tc>
        <w:tc>
          <w:tcPr>
            <w:tcW w:w="1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5.06</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0.72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880" w:type="dxa"/>
            <w:vAlign w:val="bottom"/>
          </w:tcPr>
          <w:p>
            <w:pPr>
              <w:ind w:left="40"/>
              <w:spacing w:after="0" w:line="115" w:lineRule="exact"/>
              <w:rPr>
                <w:sz w:val="20"/>
                <w:szCs w:val="20"/>
                <w:color w:val="auto"/>
              </w:rPr>
            </w:pPr>
            <w:r>
              <w:rPr>
                <w:rFonts w:ascii="Times New Roman" w:cs="Times New Roman" w:eastAsia="Times New Roman" w:hAnsi="Times New Roman"/>
                <w:sz w:val="13"/>
                <w:szCs w:val="13"/>
                <w:b w:val="1"/>
                <w:bCs w:val="1"/>
                <w:color w:val="auto"/>
                <w:w w:val="97"/>
              </w:rPr>
              <w:t>Adjusted net income per ADS attributable to ordinary shareholders of</w:t>
            </w: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8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the Company</w:t>
            </w: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Basic</w:t>
            </w:r>
          </w:p>
        </w:tc>
        <w:tc>
          <w:tcPr>
            <w:tcW w:w="11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2.34</w:t>
            </w:r>
          </w:p>
        </w:tc>
        <w:tc>
          <w:tcPr>
            <w:tcW w:w="12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1.42</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0.20</w:t>
            </w:r>
          </w:p>
        </w:tc>
        <w:tc>
          <w:tcPr>
            <w:tcW w:w="12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7.26</w:t>
            </w:r>
          </w:p>
        </w:tc>
        <w:tc>
          <w:tcPr>
            <w:tcW w:w="12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10.59</w:t>
            </w: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Diluted</w:t>
            </w:r>
          </w:p>
        </w:tc>
        <w:tc>
          <w:tcPr>
            <w:tcW w:w="1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2.22</w:t>
            </w:r>
          </w:p>
        </w:tc>
        <w:tc>
          <w:tcPr>
            <w:tcW w:w="1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1.38</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0.20</w:t>
            </w:r>
          </w:p>
        </w:tc>
        <w:tc>
          <w:tcPr>
            <w:tcW w:w="12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7.09</w:t>
            </w:r>
          </w:p>
        </w:tc>
        <w:tc>
          <w:tcPr>
            <w:tcW w:w="1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10.11</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880" w:type="dxa"/>
            <w:vAlign w:val="bottom"/>
          </w:tcPr>
          <w:p>
            <w:pPr>
              <w:ind w:left="40"/>
              <w:spacing w:after="0" w:line="115" w:lineRule="exact"/>
              <w:rPr>
                <w:sz w:val="20"/>
                <w:szCs w:val="20"/>
                <w:color w:val="auto"/>
              </w:rPr>
            </w:pPr>
            <w:r>
              <w:rPr>
                <w:rFonts w:ascii="Times New Roman" w:cs="Times New Roman" w:eastAsia="Times New Roman" w:hAnsi="Times New Roman"/>
                <w:sz w:val="13"/>
                <w:szCs w:val="13"/>
                <w:b w:val="1"/>
                <w:bCs w:val="1"/>
                <w:color w:val="auto"/>
                <w:w w:val="99"/>
              </w:rPr>
              <w:t>Weighted average shares used in calculating net income per ordinary</w:t>
            </w: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8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share for non-GAAP EPS</w:t>
            </w: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Basic</w:t>
            </w:r>
          </w:p>
        </w:tc>
        <w:tc>
          <w:tcPr>
            <w:tcW w:w="11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333,182,976</w:t>
            </w:r>
          </w:p>
        </w:tc>
        <w:tc>
          <w:tcPr>
            <w:tcW w:w="12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336,234,641</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336,234,641</w:t>
            </w:r>
          </w:p>
        </w:tc>
        <w:tc>
          <w:tcPr>
            <w:tcW w:w="12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331,403,936</w:t>
            </w:r>
          </w:p>
        </w:tc>
        <w:tc>
          <w:tcPr>
            <w:tcW w:w="12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338,943,939</w:t>
            </w: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338,943,939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8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Diluted</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351,577,582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346,075,067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346,075,067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339,261,349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355,089,877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355,089,877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8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Reconciliations of Non-GAAP EBIT to Net income</w:t>
            </w: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1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362,749</w:t>
            </w:r>
          </w:p>
        </w:tc>
        <w:tc>
          <w:tcPr>
            <w:tcW w:w="1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214,084</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30,612</w:t>
            </w:r>
          </w:p>
        </w:tc>
        <w:tc>
          <w:tcPr>
            <w:tcW w:w="12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1,100,460</w:t>
            </w:r>
          </w:p>
        </w:tc>
        <w:tc>
          <w:tcPr>
            <w:tcW w:w="1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1,677,077</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239,819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Add: Income tax expense</w:t>
            </w:r>
          </w:p>
        </w:tc>
        <w:tc>
          <w:tcPr>
            <w:tcW w:w="11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67,649</w:t>
            </w:r>
          </w:p>
        </w:tc>
        <w:tc>
          <w:tcPr>
            <w:tcW w:w="12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51,923</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7,425</w:t>
            </w:r>
          </w:p>
        </w:tc>
        <w:tc>
          <w:tcPr>
            <w:tcW w:w="12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253,275</w:t>
            </w:r>
          </w:p>
        </w:tc>
        <w:tc>
          <w:tcPr>
            <w:tcW w:w="12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398,526</w:t>
            </w: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56,988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Share-based compensation expenses</w:t>
            </w:r>
          </w:p>
        </w:tc>
        <w:tc>
          <w:tcPr>
            <w:tcW w:w="1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27,244</w:t>
            </w:r>
          </w:p>
        </w:tc>
        <w:tc>
          <w:tcPr>
            <w:tcW w:w="12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21,119</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3,020</w:t>
            </w:r>
          </w:p>
        </w:tc>
        <w:tc>
          <w:tcPr>
            <w:tcW w:w="12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94,623</w:t>
            </w:r>
          </w:p>
        </w:tc>
        <w:tc>
          <w:tcPr>
            <w:tcW w:w="1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96,175</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13,753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Interest expense, net</w:t>
            </w:r>
          </w:p>
        </w:tc>
        <w:tc>
          <w:tcPr>
            <w:tcW w:w="11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2,560</w:t>
            </w:r>
          </w:p>
        </w:tc>
        <w:tc>
          <w:tcPr>
            <w:tcW w:w="12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8,015</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1,146</w:t>
            </w:r>
          </w:p>
        </w:tc>
        <w:tc>
          <w:tcPr>
            <w:tcW w:w="12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9,007</w:t>
            </w:r>
          </w:p>
        </w:tc>
        <w:tc>
          <w:tcPr>
            <w:tcW w:w="12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22,732</w:t>
            </w: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3,251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Investment loss</w:t>
            </w:r>
          </w:p>
        </w:tc>
        <w:tc>
          <w:tcPr>
            <w:tcW w:w="11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543</w:t>
            </w:r>
          </w:p>
        </w:tc>
        <w:tc>
          <w:tcPr>
            <w:tcW w:w="140" w:type="dxa"/>
            <w:vAlign w:val="bottom"/>
          </w:tcPr>
          <w:p>
            <w:pPr>
              <w:spacing w:after="0"/>
              <w:rPr>
                <w:sz w:val="11"/>
                <w:szCs w:val="11"/>
                <w:color w:val="auto"/>
              </w:rPr>
            </w:pPr>
          </w:p>
        </w:tc>
        <w:tc>
          <w:tcPr>
            <w:tcW w:w="11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3,503</w:t>
            </w: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501</w:t>
            </w:r>
          </w:p>
        </w:tc>
        <w:tc>
          <w:tcPr>
            <w:tcW w:w="200" w:type="dxa"/>
            <w:vAlign w:val="bottom"/>
          </w:tcPr>
          <w:p>
            <w:pPr>
              <w:spacing w:after="0"/>
              <w:rPr>
                <w:sz w:val="11"/>
                <w:szCs w:val="11"/>
                <w:color w:val="auto"/>
              </w:rPr>
            </w:pPr>
          </w:p>
        </w:tc>
        <w:tc>
          <w:tcPr>
            <w:tcW w:w="10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2,417</w:t>
            </w:r>
          </w:p>
        </w:tc>
        <w:tc>
          <w:tcPr>
            <w:tcW w:w="120" w:type="dxa"/>
            <w:vAlign w:val="bottom"/>
          </w:tcPr>
          <w:p>
            <w:pPr>
              <w:spacing w:after="0"/>
              <w:rPr>
                <w:sz w:val="11"/>
                <w:szCs w:val="11"/>
                <w:color w:val="auto"/>
              </w:rPr>
            </w:pPr>
          </w:p>
        </w:tc>
        <w:tc>
          <w:tcPr>
            <w:tcW w:w="10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21,903</w:t>
            </w:r>
          </w:p>
        </w:tc>
        <w:tc>
          <w:tcPr>
            <w:tcW w:w="1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3,132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880" w:type="dxa"/>
            <w:vAlign w:val="bottom"/>
            <w:tcBorders>
              <w:bottom w:val="single" w:sz="8" w:color="CFF0FC"/>
            </w:tcBorders>
            <w:shd w:val="clear" w:color="auto" w:fill="CFF0FC"/>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Non-GAAP EBIT</w:t>
            </w:r>
          </w:p>
        </w:tc>
        <w:tc>
          <w:tcPr>
            <w:tcW w:w="11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460,745</w:t>
            </w:r>
          </w:p>
        </w:tc>
        <w:tc>
          <w:tcPr>
            <w:tcW w:w="14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298,644</w:t>
            </w:r>
          </w:p>
        </w:tc>
        <w:tc>
          <w:tcPr>
            <w:tcW w:w="1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42,704</w:t>
            </w:r>
          </w:p>
        </w:tc>
        <w:tc>
          <w:tcPr>
            <w:tcW w:w="200" w:type="dxa"/>
            <w:vAlign w:val="bottom"/>
            <w:tcBorders>
              <w:bottom w:val="single" w:sz="8" w:color="CFF0FC"/>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1,459,782</w:t>
            </w:r>
          </w:p>
        </w:tc>
        <w:tc>
          <w:tcPr>
            <w:tcW w:w="120" w:type="dxa"/>
            <w:vAlign w:val="bottom"/>
            <w:tcBorders>
              <w:bottom w:val="single" w:sz="8" w:color="CFF0FC"/>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2,216,413</w:t>
            </w:r>
          </w:p>
        </w:tc>
        <w:tc>
          <w:tcPr>
            <w:tcW w:w="10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316,943</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-2185670</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-2185670</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-2185670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-2185670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-2185670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-2185670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-24765</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-8255</wp:posOffset>
            </wp:positionV>
            <wp:extent cx="768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-24765</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-8255</wp:posOffset>
            </wp:positionV>
            <wp:extent cx="774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-8255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-8255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-8255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13</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 w:name="page17"/>
    <w:bookmarkEnd w:id="16"/>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Credit Information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Vintage Charge Off Curve</w:t>
      </w:r>
      <w:r>
        <w:rPr>
          <w:rFonts w:ascii="Times New Roman" w:cs="Times New Roman" w:eastAsia="Times New Roman" w:hAnsi="Times New Roman"/>
          <w:sz w:val="24"/>
          <w:szCs w:val="24"/>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5349240" cy="2674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34924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Dpd30+/GMV by Performance Windows</w:t>
      </w:r>
      <w:r>
        <w:rPr>
          <w:rFonts w:ascii="Times New Roman" w:cs="Times New Roman" w:eastAsia="Times New Roman" w:hAnsi="Times New Roman"/>
          <w:sz w:val="24"/>
          <w:szCs w:val="24"/>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5349240" cy="2674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34924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ind w:right="4059"/>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14</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7" w:name="page18"/>
    <w:bookmarkEnd w:id="17"/>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Payment Default 30+</w:t>
      </w:r>
      <w:r>
        <w:rPr>
          <w:rFonts w:ascii="Times New Roman" w:cs="Times New Roman" w:eastAsia="Times New Roman" w:hAnsi="Times New Roman"/>
          <w:sz w:val="24"/>
          <w:szCs w:val="24"/>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5349240" cy="27946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34924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80" w:hanging="272"/>
        <w:spacing w:after="0"/>
        <w:tabs>
          <w:tab w:leader="none" w:pos="280" w:val="left"/>
        </w:tabs>
        <w:numPr>
          <w:ilvl w:val="0"/>
          <w:numId w:val="5"/>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Loans facilitated under ICP and E-commerce business are excluded from the charts.</w:t>
      </w:r>
    </w:p>
    <w:p>
      <w:pPr>
        <w:spacing w:after="0" w:line="200" w:lineRule="exact"/>
        <w:rPr>
          <w:sz w:val="20"/>
          <w:szCs w:val="20"/>
          <w:color w:val="auto"/>
        </w:rPr>
      </w:pPr>
    </w:p>
    <w:p>
      <w:pPr>
        <w:spacing w:after="0" w:line="392" w:lineRule="exact"/>
        <w:rPr>
          <w:sz w:val="20"/>
          <w:szCs w:val="20"/>
          <w:color w:val="auto"/>
        </w:rPr>
      </w:pPr>
    </w:p>
    <w:p>
      <w:pPr>
        <w:jc w:val="right"/>
        <w:ind w:right="4059"/>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15</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8" w:name="page19"/>
    <w:bookmarkEnd w:id="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2026-03-19T06:02:42Z</dcterms:created>
  <dcterms:modified xsi:type="dcterms:W3CDTF">2026-03-19T06:02:42Z</dcterms:modified>
</cp:coreProperties>
</file>